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9571345" w14:textId="4289468D" w:rsidR="00B2462B" w:rsidRDefault="00B2462B" w:rsidP="00B2462B">
      <w:pPr>
        <w:ind w:right="-694"/>
        <w:jc w:val="center"/>
        <w:rPr>
          <w:b/>
          <w:szCs w:val="28"/>
        </w:rPr>
      </w:pPr>
      <w:r>
        <w:rPr>
          <w:rFonts w:asciiTheme="minorHAnsi" w:eastAsiaTheme="minorHAnsi" w:hAnsiTheme="minorHAnsi" w:cstheme="minorBidi"/>
          <w:sz w:val="24"/>
          <w:szCs w:val="24"/>
        </w:rPr>
        <w:object w:dxaOrig="1170" w:dyaOrig="1320" w14:anchorId="0B331A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5pt;height:65pt" o:ole="" fillcolor="window">
            <v:imagedata r:id="rId9" o:title="" gain="192753f" blacklevel="-3932f"/>
          </v:shape>
          <o:OLEObject Type="Embed" ProgID="Photoshop.Image.6" ShapeID="_x0000_i1025" DrawAspect="Content" ObjectID="_1774773590" r:id="rId10">
            <o:FieldCodes>\s</o:FieldCodes>
          </o:OLEObject>
        </w:object>
      </w:r>
    </w:p>
    <w:p w14:paraId="58FF50BE" w14:textId="307280C4" w:rsidR="00B756D9" w:rsidRDefault="00B2462B" w:rsidP="00B2462B">
      <w:pPr>
        <w:ind w:right="-694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="00B756D9">
        <w:rPr>
          <w:b/>
          <w:szCs w:val="28"/>
        </w:rPr>
        <w:t>Заключение</w:t>
      </w:r>
    </w:p>
    <w:p w14:paraId="55C98195" w14:textId="77777777" w:rsidR="00B756D9" w:rsidRDefault="00B756D9" w:rsidP="00B2462B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 xml:space="preserve">Контрольно-счетной палаты </w:t>
      </w:r>
      <w:r w:rsidR="00F979F0">
        <w:rPr>
          <w:b/>
          <w:szCs w:val="28"/>
        </w:rPr>
        <w:t>Дубровского района</w:t>
      </w:r>
    </w:p>
    <w:p w14:paraId="2E7D14EF" w14:textId="77777777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по результатам внешней проверки бюджетной отчетности</w:t>
      </w:r>
    </w:p>
    <w:p w14:paraId="0F98EC92" w14:textId="0C1DF88A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главного администратора бюджетных средств</w:t>
      </w:r>
    </w:p>
    <w:p w14:paraId="78B8450C" w14:textId="74D4897E" w:rsidR="00B756D9" w:rsidRDefault="007F2C08" w:rsidP="00B2462B">
      <w:pPr>
        <w:jc w:val="center"/>
        <w:rPr>
          <w:b/>
          <w:szCs w:val="28"/>
        </w:rPr>
      </w:pPr>
      <w:bookmarkStart w:id="1" w:name="_Hlk164159821"/>
      <w:r>
        <w:rPr>
          <w:b/>
          <w:szCs w:val="28"/>
        </w:rPr>
        <w:t>администрации Дубровского района</w:t>
      </w:r>
    </w:p>
    <w:p w14:paraId="503DDD69" w14:textId="77777777" w:rsidR="007F2C08" w:rsidRDefault="007F2C08" w:rsidP="00B2462B">
      <w:pPr>
        <w:jc w:val="center"/>
        <w:rPr>
          <w:b/>
          <w:szCs w:val="28"/>
        </w:rPr>
      </w:pPr>
      <w:r>
        <w:rPr>
          <w:b/>
          <w:szCs w:val="28"/>
        </w:rPr>
        <w:t>(Дубровское городское поселение)</w:t>
      </w:r>
    </w:p>
    <w:bookmarkEnd w:id="1"/>
    <w:p w14:paraId="7063EF51" w14:textId="61B1132E" w:rsidR="00B756D9" w:rsidRDefault="00B756D9" w:rsidP="00B2462B">
      <w:pPr>
        <w:jc w:val="center"/>
        <w:rPr>
          <w:b/>
          <w:szCs w:val="28"/>
        </w:rPr>
      </w:pPr>
      <w:r>
        <w:rPr>
          <w:b/>
          <w:szCs w:val="28"/>
        </w:rPr>
        <w:t>за 20</w:t>
      </w:r>
      <w:r w:rsidR="004350D5">
        <w:rPr>
          <w:b/>
          <w:szCs w:val="28"/>
        </w:rPr>
        <w:t>2</w:t>
      </w:r>
      <w:r w:rsidR="00AD3C98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01D8D8E7" w14:textId="77777777" w:rsidR="0065405A" w:rsidRDefault="0065405A" w:rsidP="00B2462B">
      <w:pPr>
        <w:ind w:right="-2" w:firstLine="0"/>
        <w:rPr>
          <w:rFonts w:eastAsia="Times New Roman"/>
          <w:b/>
          <w:szCs w:val="28"/>
          <w:lang w:eastAsia="ru-RU"/>
        </w:rPr>
      </w:pPr>
    </w:p>
    <w:p w14:paraId="7705C2B9" w14:textId="31D70274" w:rsidR="00B756D9" w:rsidRDefault="00B756D9" w:rsidP="007D18FD">
      <w:pPr>
        <w:ind w:right="-40" w:firstLine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п. Дубровка                                                                  </w:t>
      </w:r>
      <w:r w:rsidR="00AD3C98">
        <w:rPr>
          <w:rFonts w:eastAsia="Times New Roman"/>
          <w:b/>
          <w:szCs w:val="28"/>
          <w:lang w:eastAsia="ru-RU"/>
        </w:rPr>
        <w:t xml:space="preserve">     «04</w:t>
      </w:r>
      <w:r>
        <w:rPr>
          <w:rFonts w:eastAsia="Times New Roman"/>
          <w:b/>
          <w:szCs w:val="28"/>
          <w:lang w:eastAsia="ru-RU"/>
        </w:rPr>
        <w:t xml:space="preserve">» </w:t>
      </w:r>
      <w:r w:rsidR="00EF3D9B">
        <w:rPr>
          <w:rFonts w:eastAsia="Times New Roman"/>
          <w:b/>
          <w:szCs w:val="28"/>
          <w:lang w:eastAsia="ru-RU"/>
        </w:rPr>
        <w:t>апреля</w:t>
      </w:r>
      <w:r>
        <w:rPr>
          <w:rFonts w:eastAsia="Times New Roman"/>
          <w:b/>
          <w:szCs w:val="28"/>
          <w:lang w:eastAsia="ru-RU"/>
        </w:rPr>
        <w:t xml:space="preserve"> 20</w:t>
      </w:r>
      <w:r w:rsidR="0049380E">
        <w:rPr>
          <w:rFonts w:eastAsia="Times New Roman"/>
          <w:b/>
          <w:szCs w:val="28"/>
          <w:lang w:eastAsia="ru-RU"/>
        </w:rPr>
        <w:t>2</w:t>
      </w:r>
      <w:r w:rsidR="00E65C62">
        <w:rPr>
          <w:rFonts w:eastAsia="Times New Roman"/>
          <w:b/>
          <w:szCs w:val="28"/>
          <w:lang w:eastAsia="ru-RU"/>
        </w:rPr>
        <w:t>4</w:t>
      </w:r>
      <w:r>
        <w:rPr>
          <w:rFonts w:eastAsia="Times New Roman"/>
          <w:b/>
          <w:szCs w:val="28"/>
          <w:lang w:eastAsia="ru-RU"/>
        </w:rPr>
        <w:t xml:space="preserve"> года</w:t>
      </w:r>
    </w:p>
    <w:p w14:paraId="73EF84E8" w14:textId="77777777" w:rsidR="0065405A" w:rsidRDefault="0065405A" w:rsidP="00C1617C">
      <w:pPr>
        <w:autoSpaceDE w:val="0"/>
        <w:autoSpaceDN w:val="0"/>
        <w:adjustRightInd w:val="0"/>
        <w:ind w:firstLine="0"/>
        <w:rPr>
          <w:rFonts w:eastAsia="Times New Roman"/>
          <w:b/>
          <w:szCs w:val="28"/>
          <w:lang w:eastAsia="ru-RU"/>
        </w:rPr>
      </w:pPr>
    </w:p>
    <w:p w14:paraId="4FB8CA20" w14:textId="77777777" w:rsidR="00AD3C98" w:rsidRPr="00AD3C98" w:rsidRDefault="00AD3C98" w:rsidP="00AD3C98">
      <w:pPr>
        <w:ind w:firstLine="0"/>
        <w:rPr>
          <w:rFonts w:eastAsiaTheme="minorHAnsi"/>
          <w:szCs w:val="28"/>
        </w:rPr>
      </w:pPr>
      <w:r w:rsidRPr="00AD3C98">
        <w:rPr>
          <w:rFonts w:eastAsiaTheme="minorHAnsi"/>
          <w:b/>
          <w:szCs w:val="28"/>
        </w:rPr>
        <w:t>Основание для проведения экспертно-аналитического мероприятия:</w:t>
      </w:r>
      <w:r w:rsidRPr="00AD3C98">
        <w:rPr>
          <w:rFonts w:eastAsiaTheme="minorHAnsi"/>
          <w:szCs w:val="28"/>
        </w:rPr>
        <w:t xml:space="preserve"> пункт 1.3.2 плана работы Контрольно-счётной палаты Дубровского района на 2024 год, утвержденного приказом председателем Контрольно-счетной палаты Дубровского района от 14 декабря 2022 года № 38 в новой редакции</w:t>
      </w:r>
    </w:p>
    <w:p w14:paraId="7F2F1CBD" w14:textId="77777777" w:rsidR="00AD3C98" w:rsidRPr="00AD3C98" w:rsidRDefault="00AD3C98" w:rsidP="00AD3C98">
      <w:pPr>
        <w:ind w:firstLine="0"/>
        <w:rPr>
          <w:rFonts w:eastAsiaTheme="minorHAnsi"/>
          <w:szCs w:val="28"/>
        </w:rPr>
      </w:pPr>
      <w:r w:rsidRPr="00AD3C98">
        <w:rPr>
          <w:rFonts w:eastAsiaTheme="minorHAnsi"/>
          <w:szCs w:val="28"/>
        </w:rPr>
        <w:t>с изменениями, утвержденными приказом председателя КСП Дубровского района от 24 июля 2023 года № 21</w:t>
      </w:r>
    </w:p>
    <w:p w14:paraId="48F958D4" w14:textId="1D744AFC" w:rsidR="00D65F3C" w:rsidRDefault="00D65F3C" w:rsidP="00D65F3C">
      <w:pPr>
        <w:spacing w:before="120"/>
        <w:ind w:firstLine="0"/>
        <w:rPr>
          <w:rFonts w:eastAsia="Times New Roman"/>
          <w:b/>
          <w:szCs w:val="28"/>
          <w:lang w:eastAsia="ru-RU"/>
        </w:rPr>
      </w:pPr>
      <w:r w:rsidRPr="00B865A8">
        <w:rPr>
          <w:b/>
          <w:szCs w:val="28"/>
        </w:rPr>
        <w:t>Цель внешней проверки</w:t>
      </w:r>
      <w:r>
        <w:rPr>
          <w:szCs w:val="28"/>
        </w:rPr>
        <w:t xml:space="preserve"> – анализ и оценка содержащейся в годовой бюджетной отчетности информации об исполнении бюджета за 202</w:t>
      </w:r>
      <w:r w:rsidR="00AD3C98">
        <w:rPr>
          <w:szCs w:val="28"/>
        </w:rPr>
        <w:t>3</w:t>
      </w:r>
      <w:r>
        <w:rPr>
          <w:szCs w:val="28"/>
        </w:rPr>
        <w:t xml:space="preserve"> год</w:t>
      </w:r>
      <w:r>
        <w:rPr>
          <w:rFonts w:eastAsia="Times New Roman"/>
          <w:b/>
          <w:szCs w:val="28"/>
          <w:lang w:eastAsia="ru-RU"/>
        </w:rPr>
        <w:t>.</w:t>
      </w:r>
    </w:p>
    <w:p w14:paraId="0DD89FBB" w14:textId="77777777" w:rsidR="00116DEF" w:rsidRPr="00116DEF" w:rsidRDefault="00116DEF" w:rsidP="00116DEF">
      <w:pPr>
        <w:spacing w:before="120"/>
        <w:jc w:val="center"/>
        <w:rPr>
          <w:b/>
          <w:szCs w:val="28"/>
        </w:rPr>
      </w:pPr>
      <w:r w:rsidRPr="00116DEF">
        <w:rPr>
          <w:b/>
          <w:szCs w:val="28"/>
        </w:rPr>
        <w:t>1. Краткая информация об объекте</w:t>
      </w:r>
    </w:p>
    <w:p w14:paraId="5BE9AE59" w14:textId="40690473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Дубровское городское поселение Дубровского муниципального района Брянской области образовано и наделено статусом городского поселения Законом Брянской области №</w:t>
      </w:r>
      <w:r>
        <w:rPr>
          <w:rFonts w:eastAsia="Times New Roman"/>
          <w:szCs w:val="28"/>
          <w:lang w:eastAsia="ru-RU"/>
        </w:rPr>
        <w:t xml:space="preserve"> </w:t>
      </w:r>
      <w:r w:rsidRPr="00AD3C98">
        <w:rPr>
          <w:rFonts w:eastAsia="Times New Roman"/>
          <w:szCs w:val="28"/>
          <w:lang w:eastAsia="ru-RU"/>
        </w:rPr>
        <w:t>3-3 от 09.03.2005г. Действует на основании Устава Дубровского городского поселения Дубровского муниципального района Брянской области от 21.11.2007г.</w:t>
      </w:r>
    </w:p>
    <w:p w14:paraId="2ED2748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Полное наименование: Администрация Дубровского района.</w:t>
      </w:r>
    </w:p>
    <w:p w14:paraId="5ACE5ED3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Сокращенное наименование: Администрация Дубровского района.</w:t>
      </w:r>
    </w:p>
    <w:p w14:paraId="3A18AC6E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Юридический и фактический адрес: 242750, Брянская обл., Дубровский район, р.п. Дубровка, ул. Победы, д. 2</w:t>
      </w:r>
    </w:p>
    <w:p w14:paraId="5F9BC164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ИНН 3210002384, КПП 324501001, ОКПО 10440987, ОКТМО 15612151, ОГРН 1023201740363.</w:t>
      </w:r>
    </w:p>
    <w:p w14:paraId="7556F37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Организационно-правовая форма (ОКОПФ 7 54 04) - муниципальное казенное учреждение.</w:t>
      </w:r>
    </w:p>
    <w:p w14:paraId="23C709C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Наименование бюджета: бюджет Дубровского городского поселения Дубровского муниципального района Брянской области.</w:t>
      </w:r>
    </w:p>
    <w:p w14:paraId="25CEE05A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Код главы главного распорядителя бюджетных средств – 920-921.</w:t>
      </w:r>
    </w:p>
    <w:p w14:paraId="0C8193F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Код по Сводному реестру – 15300810.</w:t>
      </w:r>
    </w:p>
    <w:p w14:paraId="6217530F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В Управлении Федерального казначейства Брянской области открыты следующие лицевые счета:</w:t>
      </w:r>
    </w:p>
    <w:p w14:paraId="33DA53D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№03273203120 счет администратора расходов бюджета;</w:t>
      </w:r>
    </w:p>
    <w:p w14:paraId="59CF66C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№04273203120 счет администратора доходов бюджета;</w:t>
      </w:r>
    </w:p>
    <w:p w14:paraId="04A79E71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lastRenderedPageBreak/>
        <w:t>Банковских счетов в кредитных организациях учреждение не имеет.</w:t>
      </w:r>
    </w:p>
    <w:p w14:paraId="2D7611F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Бюджетный учет ведется бухгалтерией, которую возглавляет главный бухгалтер.</w:t>
      </w:r>
    </w:p>
    <w:p w14:paraId="259C246C" w14:textId="1CCF48DA" w:rsid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14:paraId="572A8E8A" w14:textId="3F44BF43" w:rsidR="00AD3C98" w:rsidRPr="00AD3C98" w:rsidRDefault="00AD3C98" w:rsidP="00AD3C98">
      <w:pPr>
        <w:ind w:firstLine="0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14:paraId="722E0817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14:paraId="6AF957C8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установленных видов деятельности, и Уставом Дубровского городского поселения Дубровского муниципального района Брянской области от 21.11.2007г.</w:t>
      </w:r>
    </w:p>
    <w:p w14:paraId="7AA9968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 xml:space="preserve">Основными направлениями деятельности Дубровского городского поселения Дубровского муниципального района Брянской области является: деятельность органов местного самоуправления. Местное самоуправление нацелено на решение вопросов местного значения. </w:t>
      </w:r>
    </w:p>
    <w:p w14:paraId="5701AC03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Основной целью администрации Дубровского района является разработка планов и программ развития поселения, взаимодействие с государственными органами, организациями, в том числе с общественными объединениями, действующими на территории поселения, по вопросам, входящим в компетенцию поселения.</w:t>
      </w:r>
    </w:p>
    <w:p w14:paraId="7630D49D" w14:textId="77777777" w:rsidR="00AD3C98" w:rsidRPr="00AD3C98" w:rsidRDefault="00AD3C98" w:rsidP="00AD3C98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14:paraId="27165BC5" w14:textId="77777777" w:rsidR="00DF1C20" w:rsidRPr="00D2755E" w:rsidRDefault="00DF1C20" w:rsidP="00D2755E">
      <w:pPr>
        <w:ind w:firstLine="0"/>
        <w:rPr>
          <w:rFonts w:eastAsia="Times New Roman"/>
          <w:color w:val="000000"/>
          <w:szCs w:val="28"/>
          <w:lang w:eastAsia="ru-RU"/>
        </w:rPr>
      </w:pPr>
    </w:p>
    <w:p w14:paraId="05A2B0D3" w14:textId="2621A3E0" w:rsidR="00D65F3C" w:rsidRDefault="00D65F3C" w:rsidP="00D2755E">
      <w:pPr>
        <w:spacing w:before="120"/>
        <w:ind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2. Результаты экспертно-аналитического мероприятия:</w:t>
      </w:r>
    </w:p>
    <w:p w14:paraId="4D66511D" w14:textId="438031AE" w:rsidR="00D65F3C" w:rsidRDefault="00D65F3C" w:rsidP="00D65F3C">
      <w:pPr>
        <w:ind w:firstLine="0"/>
        <w:rPr>
          <w:szCs w:val="28"/>
        </w:rPr>
      </w:pPr>
      <w:r>
        <w:rPr>
          <w:szCs w:val="28"/>
        </w:rPr>
        <w:t xml:space="preserve">Для проведения внешней проверки отчета об исполнении бюджета за 2022 год </w:t>
      </w:r>
      <w:r w:rsidR="00AD3C98">
        <w:rPr>
          <w:szCs w:val="28"/>
        </w:rPr>
        <w:t>предоставлены следующие</w:t>
      </w:r>
      <w:r>
        <w:rPr>
          <w:szCs w:val="28"/>
        </w:rPr>
        <w:t xml:space="preserve"> формы отчетности:</w:t>
      </w:r>
    </w:p>
    <w:p w14:paraId="6942A3CB" w14:textId="576D3281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>(ф. 0503110</w:t>
      </w:r>
      <w:r w:rsidR="00AD3C98">
        <w:rPr>
          <w:b/>
          <w:szCs w:val="28"/>
        </w:rPr>
        <w:t>)</w:t>
      </w:r>
      <w:r w:rsidR="00AD3C98">
        <w:rPr>
          <w:szCs w:val="28"/>
        </w:rPr>
        <w:t xml:space="preserve"> </w:t>
      </w:r>
      <w:r w:rsidR="00AD3C98">
        <w:rPr>
          <w:b/>
          <w:szCs w:val="28"/>
        </w:rPr>
        <w:t>Справка</w:t>
      </w:r>
      <w:r>
        <w:rPr>
          <w:szCs w:val="28"/>
        </w:rPr>
        <w:t xml:space="preserve"> по заключению счетов бюджетного учета отчетного финансового года;</w:t>
      </w:r>
    </w:p>
    <w:p w14:paraId="3C928FEB" w14:textId="77777777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 xml:space="preserve">(ф. 0503117)   </w:t>
      </w:r>
      <w:r>
        <w:rPr>
          <w:szCs w:val="28"/>
        </w:rPr>
        <w:t>Отчет об исполнении бюджета;</w:t>
      </w:r>
    </w:p>
    <w:p w14:paraId="5DA7F6CC" w14:textId="5760AFC5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>(ф. 0503121</w:t>
      </w:r>
      <w:r w:rsidR="00AD3C98">
        <w:rPr>
          <w:b/>
          <w:szCs w:val="28"/>
        </w:rPr>
        <w:t xml:space="preserve">) </w:t>
      </w:r>
      <w:r w:rsidR="00AD3C98" w:rsidRPr="00AD3C98">
        <w:rPr>
          <w:bCs/>
          <w:szCs w:val="28"/>
        </w:rPr>
        <w:t>Отчет</w:t>
      </w:r>
      <w:r>
        <w:rPr>
          <w:szCs w:val="28"/>
        </w:rPr>
        <w:t xml:space="preserve"> о финансовых результатах деятельности;</w:t>
      </w:r>
    </w:p>
    <w:p w14:paraId="0FB3D471" w14:textId="77777777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 xml:space="preserve">(ф. 0503123) </w:t>
      </w:r>
      <w:r>
        <w:rPr>
          <w:szCs w:val="28"/>
        </w:rPr>
        <w:t>Отчет о движении денежных средств;</w:t>
      </w:r>
    </w:p>
    <w:p w14:paraId="00E9AED9" w14:textId="77777777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 xml:space="preserve">(ф. 0503125) </w:t>
      </w:r>
      <w:r>
        <w:rPr>
          <w:szCs w:val="28"/>
        </w:rPr>
        <w:t>Справка по консолидированным расчетам;</w:t>
      </w:r>
    </w:p>
    <w:p w14:paraId="1FE56C5D" w14:textId="63EF2A05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>(ф. 0503127</w:t>
      </w:r>
      <w:r w:rsidR="00AD3C98">
        <w:rPr>
          <w:b/>
          <w:szCs w:val="28"/>
        </w:rPr>
        <w:t xml:space="preserve">) </w:t>
      </w:r>
      <w:r w:rsidR="00AD3C98" w:rsidRPr="00AD3C98">
        <w:rPr>
          <w:bCs/>
          <w:szCs w:val="28"/>
        </w:rPr>
        <w:t>Отчет</w:t>
      </w:r>
      <w:r>
        <w:rPr>
          <w:szCs w:val="28"/>
        </w:rPr>
        <w:t xml:space="preserve"> об исполнении</w:t>
      </w:r>
      <w:r>
        <w:rPr>
          <w:b/>
          <w:szCs w:val="28"/>
        </w:rPr>
        <w:t xml:space="preserve"> </w:t>
      </w:r>
      <w:r>
        <w:rPr>
          <w:szCs w:val="28"/>
        </w:rPr>
        <w:t xml:space="preserve">бюджета главного распорядителя, распорядителя, получателя бюджетных </w:t>
      </w:r>
      <w:r w:rsidR="00AD3C98">
        <w:rPr>
          <w:szCs w:val="28"/>
        </w:rPr>
        <w:t>средств, главного</w:t>
      </w:r>
      <w:r>
        <w:rPr>
          <w:szCs w:val="28"/>
        </w:rPr>
        <w:t xml:space="preserve"> администратора, </w:t>
      </w:r>
      <w:r>
        <w:rPr>
          <w:szCs w:val="28"/>
        </w:rPr>
        <w:lastRenderedPageBreak/>
        <w:t>администратора источников финансирования дефицита бюджета, главного администратора, администратора доходов бюджета;</w:t>
      </w:r>
    </w:p>
    <w:p w14:paraId="3F7AE1BC" w14:textId="569B39B0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>(ф. 0503128</w:t>
      </w:r>
      <w:r w:rsidR="00AD3C98">
        <w:rPr>
          <w:b/>
          <w:szCs w:val="28"/>
        </w:rPr>
        <w:t xml:space="preserve">) </w:t>
      </w:r>
      <w:r w:rsidR="00AD3C98" w:rsidRPr="00AD3C98">
        <w:rPr>
          <w:bCs/>
          <w:szCs w:val="28"/>
        </w:rPr>
        <w:t>Отчет</w:t>
      </w:r>
      <w:r>
        <w:rPr>
          <w:szCs w:val="28"/>
        </w:rPr>
        <w:t xml:space="preserve"> о принятых бюджетных обязательствах;</w:t>
      </w:r>
    </w:p>
    <w:p w14:paraId="6832C63E" w14:textId="6C4AC926" w:rsidR="00D65F3C" w:rsidRDefault="00D65F3C" w:rsidP="00D65F3C">
      <w:pPr>
        <w:ind w:firstLine="0"/>
        <w:rPr>
          <w:szCs w:val="28"/>
        </w:rPr>
      </w:pPr>
      <w:r>
        <w:rPr>
          <w:b/>
          <w:szCs w:val="28"/>
        </w:rPr>
        <w:t>(ф. 0503130)</w:t>
      </w:r>
      <w:r>
        <w:rPr>
          <w:szCs w:val="28"/>
        </w:rPr>
        <w:t xml:space="preserve"> Баланс главного распорядителя, </w:t>
      </w:r>
      <w:r w:rsidR="00AD3C98">
        <w:rPr>
          <w:szCs w:val="28"/>
        </w:rPr>
        <w:t>распорядителя, получателя</w:t>
      </w:r>
      <w:r>
        <w:rPr>
          <w:szCs w:val="28"/>
        </w:rPr>
        <w:t xml:space="preserve">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бюджета;</w:t>
      </w:r>
    </w:p>
    <w:p w14:paraId="7EEC320E" w14:textId="77777777" w:rsidR="00D65F3C" w:rsidRPr="0050285D" w:rsidRDefault="00D65F3C" w:rsidP="00D65F3C">
      <w:pPr>
        <w:ind w:firstLine="0"/>
        <w:rPr>
          <w:bCs/>
          <w:szCs w:val="28"/>
        </w:rPr>
      </w:pPr>
      <w:r w:rsidRPr="00000B2B">
        <w:rPr>
          <w:b/>
          <w:szCs w:val="28"/>
        </w:rPr>
        <w:t>(ф. 0503164)</w:t>
      </w:r>
      <w:r>
        <w:rPr>
          <w:bCs/>
          <w:szCs w:val="28"/>
        </w:rPr>
        <w:t xml:space="preserve"> Сведения об исполнении бюджета;</w:t>
      </w:r>
    </w:p>
    <w:p w14:paraId="464934C1" w14:textId="77777777" w:rsidR="00D65F3C" w:rsidRDefault="00D65F3C" w:rsidP="00D65F3C">
      <w:pPr>
        <w:ind w:firstLine="0"/>
        <w:rPr>
          <w:bCs/>
          <w:szCs w:val="28"/>
        </w:rPr>
      </w:pPr>
      <w:r>
        <w:rPr>
          <w:b/>
          <w:szCs w:val="28"/>
        </w:rPr>
        <w:t xml:space="preserve">(ф. 0503160) </w:t>
      </w:r>
      <w:r w:rsidRPr="00951C58">
        <w:rPr>
          <w:bCs/>
          <w:szCs w:val="28"/>
        </w:rPr>
        <w:t>Пояснительная записка</w:t>
      </w:r>
      <w:r>
        <w:rPr>
          <w:bCs/>
          <w:szCs w:val="28"/>
        </w:rPr>
        <w:t>.</w:t>
      </w:r>
    </w:p>
    <w:p w14:paraId="017998B9" w14:textId="77777777" w:rsidR="00D65F3C" w:rsidRPr="00AD3C98" w:rsidRDefault="00D65F3C" w:rsidP="00D65F3C">
      <w:pPr>
        <w:ind w:firstLine="0"/>
        <w:rPr>
          <w:rFonts w:eastAsia="Times New Roman"/>
          <w:szCs w:val="28"/>
          <w:lang w:eastAsia="ru-RU"/>
        </w:rPr>
      </w:pPr>
      <w:r w:rsidRPr="00AD3C98">
        <w:rPr>
          <w:rFonts w:eastAsia="Times New Roman"/>
          <w:szCs w:val="28"/>
          <w:lang w:eastAsia="ru-RU"/>
        </w:rPr>
        <w:t>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191н.</w:t>
      </w:r>
    </w:p>
    <w:p w14:paraId="30E4A50F" w14:textId="29A72C53" w:rsidR="00D65F3C" w:rsidRPr="00AD3C98" w:rsidRDefault="00D65F3C" w:rsidP="00D65F3C">
      <w:pPr>
        <w:autoSpaceDE w:val="0"/>
        <w:autoSpaceDN w:val="0"/>
        <w:adjustRightInd w:val="0"/>
        <w:ind w:firstLine="0"/>
        <w:outlineLvl w:val="0"/>
        <w:rPr>
          <w:rFonts w:eastAsia="Times New Roman"/>
          <w:bCs/>
          <w:szCs w:val="28"/>
        </w:rPr>
      </w:pPr>
      <w:r w:rsidRPr="00AD3C98">
        <w:rPr>
          <w:rFonts w:eastAsia="Times New Roman"/>
          <w:bCs/>
          <w:szCs w:val="28"/>
        </w:rPr>
        <w:t>Представленная к проверке годовая бюджетная отчетность Дубровского городского поселения за 202</w:t>
      </w:r>
      <w:r w:rsidR="00AD3C98">
        <w:rPr>
          <w:rFonts w:eastAsia="Times New Roman"/>
          <w:bCs/>
          <w:szCs w:val="28"/>
        </w:rPr>
        <w:t>3</w:t>
      </w:r>
      <w:r w:rsidRPr="00AD3C98">
        <w:rPr>
          <w:rFonts w:eastAsia="Times New Roman"/>
          <w:bCs/>
          <w:szCs w:val="28"/>
        </w:rPr>
        <w:t xml:space="preserve"> год по составу соответствует требованиям Инструкции № 191н. </w:t>
      </w:r>
    </w:p>
    <w:p w14:paraId="4E9CFE9A" w14:textId="77777777" w:rsidR="00D65F3C" w:rsidRPr="00AD3C98" w:rsidRDefault="00D65F3C" w:rsidP="00D65F3C">
      <w:pPr>
        <w:autoSpaceDE w:val="0"/>
        <w:autoSpaceDN w:val="0"/>
        <w:adjustRightInd w:val="0"/>
        <w:ind w:firstLine="0"/>
        <w:rPr>
          <w:b/>
          <w:bCs/>
          <w:i/>
          <w:iCs/>
          <w:szCs w:val="28"/>
        </w:rPr>
      </w:pPr>
      <w:bookmarkStart w:id="2" w:name="_Hlk99018410"/>
      <w:r w:rsidRPr="00AD3C98">
        <w:rPr>
          <w:b/>
          <w:bCs/>
          <w:i/>
          <w:iCs/>
          <w:szCs w:val="28"/>
        </w:rPr>
        <w:t>В нарушение п. 12 Инструкции №191н при заполнении баланса, в кодовой зоне заголовочной части баланса (ф.</w:t>
      </w:r>
      <w:hyperlink r:id="rId11" w:history="1">
        <w:r w:rsidRPr="00AD3C98">
          <w:rPr>
            <w:b/>
            <w:bCs/>
            <w:i/>
            <w:iCs/>
            <w:szCs w:val="28"/>
          </w:rPr>
          <w:t>0503130</w:t>
        </w:r>
      </w:hyperlink>
      <w:r w:rsidRPr="00AD3C98">
        <w:rPr>
          <w:b/>
          <w:bCs/>
          <w:i/>
          <w:iCs/>
          <w:szCs w:val="28"/>
        </w:rPr>
        <w:t xml:space="preserve">) не указан код </w:t>
      </w:r>
      <w:hyperlink r:id="rId12" w:history="1">
        <w:r w:rsidRPr="00AD3C98">
          <w:rPr>
            <w:b/>
            <w:bCs/>
            <w:i/>
            <w:iCs/>
            <w:szCs w:val="28"/>
          </w:rPr>
          <w:t>ОКВЭД</w:t>
        </w:r>
      </w:hyperlink>
      <w:r w:rsidRPr="00AD3C98">
        <w:rPr>
          <w:b/>
          <w:bCs/>
          <w:i/>
          <w:iCs/>
          <w:szCs w:val="28"/>
        </w:rPr>
        <w:t xml:space="preserve"> по основному виду деятельности учреждения.</w:t>
      </w:r>
      <w:bookmarkStart w:id="3" w:name="_Hlk71625765"/>
      <w:bookmarkEnd w:id="2"/>
    </w:p>
    <w:bookmarkEnd w:id="3"/>
    <w:p w14:paraId="77E02A3A" w14:textId="77777777" w:rsidR="00D65F3C" w:rsidRPr="00AD3C98" w:rsidRDefault="00D65F3C" w:rsidP="00D65F3C">
      <w:pPr>
        <w:autoSpaceDE w:val="0"/>
        <w:autoSpaceDN w:val="0"/>
        <w:adjustRightInd w:val="0"/>
        <w:ind w:firstLine="0"/>
        <w:outlineLvl w:val="0"/>
        <w:rPr>
          <w:szCs w:val="28"/>
        </w:rPr>
      </w:pPr>
      <w:r w:rsidRPr="00AD3C98">
        <w:rPr>
          <w:szCs w:val="28"/>
        </w:rPr>
        <w:t>Информация о не представленных формах по причине отсутствия показателей отражена в соответствующем разделе пояснительной записки.</w:t>
      </w:r>
    </w:p>
    <w:p w14:paraId="6DC0F824" w14:textId="77777777" w:rsidR="00D65F3C" w:rsidRPr="00AD3C98" w:rsidRDefault="00D65F3C" w:rsidP="00D65F3C">
      <w:pPr>
        <w:autoSpaceDE w:val="0"/>
        <w:autoSpaceDN w:val="0"/>
        <w:adjustRightInd w:val="0"/>
        <w:ind w:firstLine="0"/>
        <w:rPr>
          <w:szCs w:val="28"/>
        </w:rPr>
      </w:pPr>
      <w:r w:rsidRPr="00AD3C98">
        <w:rPr>
          <w:szCs w:val="28"/>
        </w:rPr>
        <w:t xml:space="preserve">По данным </w:t>
      </w:r>
      <w:r w:rsidRPr="00962B4C">
        <w:rPr>
          <w:b/>
          <w:bCs/>
          <w:szCs w:val="28"/>
        </w:rPr>
        <w:t>формы 0503127</w:t>
      </w:r>
      <w:r w:rsidRPr="00AD3C98">
        <w:rPr>
          <w:szCs w:val="28"/>
        </w:rPr>
        <w:t xml:space="preserve">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информация в разрезе видов доходов представлена в таблице:</w:t>
      </w:r>
    </w:p>
    <w:p w14:paraId="77407CB4" w14:textId="77777777" w:rsidR="00D65F3C" w:rsidRDefault="00D65F3C" w:rsidP="00D65F3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Тыс. рублей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19"/>
        <w:gridCol w:w="1552"/>
        <w:gridCol w:w="1487"/>
        <w:gridCol w:w="1513"/>
      </w:tblGrid>
      <w:tr w:rsidR="00D65F3C" w14:paraId="51188733" w14:textId="77777777" w:rsidTr="007137FD">
        <w:trPr>
          <w:trHeight w:val="1275"/>
        </w:trPr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FD0CEF" w14:textId="77777777" w:rsidR="00D65F3C" w:rsidRPr="00A22990" w:rsidRDefault="00D65F3C" w:rsidP="007137F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Вид доходов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61D4B" w14:textId="64C5FD18" w:rsidR="00D65F3C" w:rsidRPr="00A22990" w:rsidRDefault="00D65F3C" w:rsidP="007137FD">
            <w:pPr>
              <w:ind w:left="473" w:hanging="473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rFonts w:eastAsia="Times New Roman"/>
                <w:b/>
                <w:bCs/>
                <w:sz w:val="24"/>
                <w:szCs w:val="24"/>
              </w:rPr>
              <w:t>Утверждено 202</w:t>
            </w:r>
            <w:r w:rsidR="00084706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E9272" w14:textId="77777777" w:rsidR="00D65F3C" w:rsidRPr="00A22990" w:rsidRDefault="00D65F3C" w:rsidP="007137FD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Исполнено</w:t>
            </w:r>
          </w:p>
          <w:p w14:paraId="70451533" w14:textId="74A250CD" w:rsidR="00D65F3C" w:rsidRPr="00A22990" w:rsidRDefault="00D65F3C" w:rsidP="007137FD">
            <w:pPr>
              <w:ind w:left="339" w:firstLine="0"/>
              <w:jc w:val="left"/>
              <w:rPr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202</w:t>
            </w:r>
            <w:r w:rsidR="000847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B340C" w14:textId="77777777" w:rsidR="00D65F3C" w:rsidRPr="00A22990" w:rsidRDefault="00D65F3C" w:rsidP="007137FD">
            <w:pPr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22990">
              <w:rPr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D65F3C" w14:paraId="0840F45A" w14:textId="77777777" w:rsidTr="007137FD">
        <w:trPr>
          <w:trHeight w:val="330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79D60" w14:textId="77777777" w:rsidR="00D65F3C" w:rsidRPr="0083623E" w:rsidRDefault="00D65F3C" w:rsidP="007137FD">
            <w:pPr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3623E">
              <w:rPr>
                <w:rFonts w:eastAsia="Times New Roman"/>
                <w:sz w:val="24"/>
                <w:szCs w:val="24"/>
              </w:rPr>
              <w:t>Доходы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2D2A4B" w14:textId="5717E101" w:rsidR="00D65F3C" w:rsidRPr="0083623E" w:rsidRDefault="00BF2061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27991,0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BC3E7C" w14:textId="38F04AEE" w:rsidR="00D65F3C" w:rsidRPr="0083623E" w:rsidRDefault="00BF2061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26725,0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B60093" w14:textId="3BE58972" w:rsidR="00D65F3C" w:rsidRPr="0083623E" w:rsidRDefault="00BF2061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95,5</w:t>
            </w:r>
          </w:p>
        </w:tc>
      </w:tr>
      <w:tr w:rsidR="00D65F3C" w14:paraId="1AD6A88C" w14:textId="77777777" w:rsidTr="007137FD">
        <w:trPr>
          <w:trHeight w:val="33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D838" w14:textId="77777777" w:rsidR="00D65F3C" w:rsidRPr="0083623E" w:rsidRDefault="00D65F3C" w:rsidP="007137FD">
            <w:pPr>
              <w:ind w:hanging="22"/>
              <w:jc w:val="left"/>
              <w:rPr>
                <w:rFonts w:eastAsia="Times New Roman"/>
                <w:sz w:val="24"/>
                <w:szCs w:val="24"/>
              </w:rPr>
            </w:pPr>
            <w:r w:rsidRPr="0083623E">
              <w:rPr>
                <w:rFonts w:eastAsia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A6AC" w14:textId="79EE048E" w:rsidR="00D65F3C" w:rsidRPr="0083623E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56422,1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F585" w14:textId="520397DC" w:rsidR="00D65F3C" w:rsidRPr="0083623E" w:rsidRDefault="00BF2061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56338,5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AB69" w14:textId="33B89722" w:rsidR="00D65F3C" w:rsidRPr="0083623E" w:rsidRDefault="00BF2061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99,9</w:t>
            </w:r>
          </w:p>
        </w:tc>
      </w:tr>
      <w:tr w:rsidR="00D65F3C" w14:paraId="70032FE8" w14:textId="77777777" w:rsidTr="007137FD">
        <w:trPr>
          <w:trHeight w:val="330"/>
        </w:trPr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CCEB0" w14:textId="77777777" w:rsidR="00D65F3C" w:rsidRPr="005B2000" w:rsidRDefault="00D65F3C" w:rsidP="007137FD">
            <w:pPr>
              <w:ind w:firstLine="0"/>
              <w:rPr>
                <w:rFonts w:eastAsia="Times New Roman"/>
                <w:b/>
                <w:sz w:val="24"/>
                <w:szCs w:val="24"/>
              </w:rPr>
            </w:pPr>
            <w:r w:rsidRPr="005B200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6208E2" w14:textId="5C5CEF01" w:rsidR="00D65F3C" w:rsidRPr="005B2000" w:rsidRDefault="00BF2061" w:rsidP="007137FD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84413,1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FBA2DC" w14:textId="2F0197F2" w:rsidR="00D65F3C" w:rsidRPr="00A22990" w:rsidRDefault="00BF2061" w:rsidP="007137FD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83063,6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A3CD2D" w14:textId="5822A2DF" w:rsidR="00D65F3C" w:rsidRPr="005B2000" w:rsidRDefault="00BF2061" w:rsidP="007137FD">
            <w:pPr>
              <w:ind w:hanging="13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98,4</w:t>
            </w:r>
          </w:p>
        </w:tc>
      </w:tr>
    </w:tbl>
    <w:p w14:paraId="4551BB16" w14:textId="77777777" w:rsidR="00D65F3C" w:rsidRDefault="00D65F3C" w:rsidP="00D65F3C">
      <w:pPr>
        <w:ind w:firstLine="0"/>
        <w:rPr>
          <w:szCs w:val="28"/>
        </w:rPr>
      </w:pPr>
    </w:p>
    <w:p w14:paraId="6B8312BB" w14:textId="10CC2146" w:rsidR="00D65F3C" w:rsidRDefault="00D65F3C" w:rsidP="00D65F3C">
      <w:pPr>
        <w:ind w:firstLine="0"/>
        <w:rPr>
          <w:szCs w:val="28"/>
        </w:rPr>
      </w:pPr>
      <w:r>
        <w:rPr>
          <w:szCs w:val="28"/>
        </w:rPr>
        <w:t>За 202</w:t>
      </w:r>
      <w:r w:rsidR="00084706">
        <w:rPr>
          <w:szCs w:val="28"/>
        </w:rPr>
        <w:t>3</w:t>
      </w:r>
      <w:r>
        <w:rPr>
          <w:szCs w:val="28"/>
        </w:rPr>
        <w:t xml:space="preserve"> год доходная часть бюджета исполнена в сумме </w:t>
      </w:r>
      <w:r w:rsidR="00BF2061">
        <w:rPr>
          <w:szCs w:val="28"/>
        </w:rPr>
        <w:t>83 063,6</w:t>
      </w:r>
      <w:r>
        <w:rPr>
          <w:szCs w:val="28"/>
        </w:rPr>
        <w:t xml:space="preserve"> тыс. рублей, или </w:t>
      </w:r>
      <w:r w:rsidR="00BF2061">
        <w:rPr>
          <w:szCs w:val="28"/>
        </w:rPr>
        <w:t>95,5</w:t>
      </w:r>
      <w:r>
        <w:rPr>
          <w:szCs w:val="28"/>
        </w:rPr>
        <w:t xml:space="preserve">% плановых назначений отчетного периода. </w:t>
      </w:r>
    </w:p>
    <w:p w14:paraId="44003D3E" w14:textId="6CA0B927" w:rsidR="00DD0D57" w:rsidRPr="00DD0D57" w:rsidRDefault="00DD0D57" w:rsidP="00DD0D57">
      <w:pPr>
        <w:autoSpaceDE w:val="0"/>
        <w:autoSpaceDN w:val="0"/>
        <w:adjustRightInd w:val="0"/>
        <w:ind w:firstLine="0"/>
        <w:rPr>
          <w:rFonts w:eastAsiaTheme="minorHAnsi"/>
          <w:szCs w:val="28"/>
        </w:rPr>
      </w:pPr>
      <w:r w:rsidRPr="00AD3C98">
        <w:rPr>
          <w:b/>
          <w:bCs/>
          <w:i/>
          <w:iCs/>
          <w:szCs w:val="28"/>
        </w:rPr>
        <w:t xml:space="preserve">В нарушение </w:t>
      </w:r>
      <w:hyperlink r:id="rId13" w:history="1">
        <w:r w:rsidRPr="00DD0D57">
          <w:rPr>
            <w:rFonts w:eastAsiaTheme="minorHAnsi"/>
            <w:b/>
            <w:bCs/>
            <w:i/>
            <w:iCs/>
            <w:szCs w:val="28"/>
          </w:rPr>
          <w:t>п. п. 52</w:t>
        </w:r>
      </w:hyperlink>
      <w:r w:rsidRPr="00DD0D57">
        <w:rPr>
          <w:rFonts w:eastAsiaTheme="minorHAnsi"/>
          <w:b/>
          <w:bCs/>
          <w:i/>
          <w:iCs/>
          <w:szCs w:val="28"/>
        </w:rPr>
        <w:t xml:space="preserve"> - </w:t>
      </w:r>
      <w:hyperlink r:id="rId14" w:history="1">
        <w:r w:rsidRPr="00DD0D57">
          <w:rPr>
            <w:rFonts w:eastAsiaTheme="minorHAnsi"/>
            <w:b/>
            <w:bCs/>
            <w:i/>
            <w:iCs/>
            <w:szCs w:val="28"/>
          </w:rPr>
          <w:t>59</w:t>
        </w:r>
      </w:hyperlink>
      <w:r w:rsidRPr="00DD0D57">
        <w:rPr>
          <w:rFonts w:eastAsiaTheme="minorHAnsi"/>
          <w:b/>
          <w:bCs/>
          <w:i/>
          <w:iCs/>
          <w:szCs w:val="28"/>
        </w:rPr>
        <w:t xml:space="preserve">, </w:t>
      </w:r>
      <w:hyperlink r:id="rId15" w:history="1">
        <w:r w:rsidRPr="00DD0D57">
          <w:rPr>
            <w:rFonts w:eastAsiaTheme="minorHAnsi"/>
            <w:b/>
            <w:bCs/>
            <w:i/>
            <w:iCs/>
            <w:szCs w:val="28"/>
          </w:rPr>
          <w:t>60</w:t>
        </w:r>
      </w:hyperlink>
      <w:r w:rsidRPr="00DD0D57">
        <w:rPr>
          <w:rFonts w:eastAsiaTheme="minorHAnsi"/>
          <w:b/>
          <w:bCs/>
          <w:i/>
          <w:iCs/>
          <w:szCs w:val="28"/>
        </w:rPr>
        <w:t xml:space="preserve"> - </w:t>
      </w:r>
      <w:hyperlink r:id="rId16" w:history="1">
        <w:r w:rsidRPr="00DD0D57">
          <w:rPr>
            <w:rFonts w:eastAsiaTheme="minorHAnsi"/>
            <w:b/>
            <w:bCs/>
            <w:i/>
            <w:iCs/>
            <w:szCs w:val="28"/>
          </w:rPr>
          <w:t>62</w:t>
        </w:r>
      </w:hyperlink>
      <w:r w:rsidRPr="00DD0D57">
        <w:rPr>
          <w:rFonts w:eastAsiaTheme="minorHAnsi"/>
          <w:b/>
          <w:bCs/>
          <w:i/>
          <w:iCs/>
          <w:szCs w:val="28"/>
        </w:rPr>
        <w:t xml:space="preserve"> Инструкции N 191н</w:t>
      </w:r>
      <w:r>
        <w:rPr>
          <w:rFonts w:eastAsiaTheme="minorHAnsi"/>
          <w:szCs w:val="28"/>
        </w:rPr>
        <w:t xml:space="preserve"> </w:t>
      </w:r>
      <w:r w:rsidRPr="00AD3C98">
        <w:rPr>
          <w:b/>
          <w:bCs/>
          <w:i/>
          <w:iCs/>
          <w:szCs w:val="28"/>
        </w:rPr>
        <w:t xml:space="preserve">при заполнении </w:t>
      </w:r>
      <w:r w:rsidRPr="00DD0D57">
        <w:rPr>
          <w:b/>
          <w:bCs/>
          <w:i/>
          <w:iCs/>
          <w:szCs w:val="28"/>
        </w:rPr>
        <w:t>ф.0503127</w:t>
      </w:r>
      <w:r w:rsidRPr="00AD3C98">
        <w:rPr>
          <w:b/>
          <w:bCs/>
          <w:i/>
          <w:iCs/>
          <w:szCs w:val="28"/>
        </w:rPr>
        <w:t xml:space="preserve"> не </w:t>
      </w:r>
      <w:r>
        <w:rPr>
          <w:b/>
          <w:bCs/>
          <w:i/>
          <w:iCs/>
          <w:szCs w:val="28"/>
        </w:rPr>
        <w:t>заполнена графа 4,9. При исполнении функции главного администратора доходов бюджета графа 4 обязательна к заполнению, так же при содержании данных в графе 4, графа 9 обязательна к заполнению.</w:t>
      </w:r>
    </w:p>
    <w:p w14:paraId="2A589453" w14:textId="77777777" w:rsidR="00D65F3C" w:rsidRPr="002B224A" w:rsidRDefault="00D65F3C" w:rsidP="00D65F3C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2B224A">
        <w:rPr>
          <w:szCs w:val="28"/>
        </w:rPr>
        <w:lastRenderedPageBreak/>
        <w:t>Тыс. рублей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1559"/>
        <w:gridCol w:w="1418"/>
        <w:gridCol w:w="1559"/>
      </w:tblGrid>
      <w:tr w:rsidR="00D65F3C" w:rsidRPr="002B224A" w14:paraId="7A1C0B5A" w14:textId="77777777" w:rsidTr="007137FD">
        <w:trPr>
          <w:trHeight w:val="1275"/>
        </w:trPr>
        <w:tc>
          <w:tcPr>
            <w:tcW w:w="4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F05D4" w14:textId="77777777" w:rsidR="00D65F3C" w:rsidRPr="002B224A" w:rsidRDefault="00D65F3C" w:rsidP="007137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2B224A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454F11" w14:textId="77777777" w:rsidR="00084706" w:rsidRDefault="00D65F3C" w:rsidP="007137FD">
            <w:pPr>
              <w:ind w:left="473" w:hanging="47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rFonts w:eastAsia="Times New Roman"/>
                <w:b/>
                <w:bCs/>
                <w:sz w:val="24"/>
                <w:szCs w:val="24"/>
              </w:rPr>
              <w:t>Утвержден</w:t>
            </w:r>
          </w:p>
          <w:p w14:paraId="43CF490B" w14:textId="7D7FAE0E" w:rsidR="00D65F3C" w:rsidRPr="00084706" w:rsidRDefault="00D65F3C" w:rsidP="007137FD">
            <w:pPr>
              <w:ind w:left="473" w:hanging="47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rFonts w:eastAsia="Times New Roman"/>
                <w:b/>
                <w:bCs/>
                <w:sz w:val="24"/>
                <w:szCs w:val="24"/>
              </w:rPr>
              <w:t>202</w:t>
            </w:r>
            <w:r w:rsidR="00084706" w:rsidRPr="00084706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B60A5" w14:textId="73277653" w:rsidR="00084706" w:rsidRDefault="00D65F3C" w:rsidP="000847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4706">
              <w:rPr>
                <w:b/>
                <w:bCs/>
                <w:sz w:val="24"/>
                <w:szCs w:val="24"/>
              </w:rPr>
              <w:t>Исполнено</w:t>
            </w:r>
          </w:p>
          <w:p w14:paraId="5232CB75" w14:textId="58D22F15" w:rsidR="00D65F3C" w:rsidRPr="00084706" w:rsidRDefault="00084706" w:rsidP="0008470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D65F3C" w:rsidRPr="00084706">
              <w:rPr>
                <w:b/>
                <w:bCs/>
                <w:sz w:val="24"/>
                <w:szCs w:val="24"/>
              </w:rPr>
              <w:t>202</w:t>
            </w:r>
            <w:r w:rsidRPr="000847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439DA" w14:textId="77777777" w:rsidR="00D65F3C" w:rsidRPr="00084706" w:rsidRDefault="00D65F3C" w:rsidP="007137FD">
            <w:pPr>
              <w:ind w:firstLine="317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084706">
              <w:rPr>
                <w:b/>
                <w:bCs/>
                <w:sz w:val="24"/>
                <w:szCs w:val="24"/>
              </w:rPr>
              <w:t>%   исполнения</w:t>
            </w:r>
          </w:p>
        </w:tc>
      </w:tr>
      <w:tr w:rsidR="00D65F3C" w:rsidRPr="002B224A" w14:paraId="73179CA2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BA92E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(200) Закупка товаров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262054" w14:textId="30A5598D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57266,9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B30F75" w14:textId="6EFE2B29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55884,6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664C648" w14:textId="384E2554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97,6</w:t>
            </w:r>
          </w:p>
        </w:tc>
      </w:tr>
      <w:tr w:rsidR="00D65F3C" w:rsidRPr="002B224A" w14:paraId="66096048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0E2F1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(300)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6F2D90" w14:textId="3A381261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33CA73" w14:textId="2FF4D2D9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AB6E8AF" w14:textId="2B5F3EED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100,0</w:t>
            </w:r>
          </w:p>
        </w:tc>
      </w:tr>
      <w:tr w:rsidR="00605855" w:rsidRPr="002B224A" w14:paraId="36F19ACC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86D18" w14:textId="21EEFAFB" w:rsidR="00605855" w:rsidRPr="002B224A" w:rsidRDefault="00605855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(400) прочие работы,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EE166C" w14:textId="46F9D7DE" w:rsidR="00605855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18376,7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2DF0BDE" w14:textId="1C066A32" w:rsidR="00605855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18376,7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01D72D4D" w14:textId="2D28B29B" w:rsidR="00605855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5F3C" w:rsidRPr="002B224A" w14:paraId="212A6B0F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F9AC7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bookmarkStart w:id="4" w:name="_Hlk129600841"/>
            <w:r w:rsidRPr="002B224A">
              <w:rPr>
                <w:rFonts w:eastAsia="Times New Roman"/>
                <w:sz w:val="24"/>
                <w:szCs w:val="24"/>
              </w:rPr>
              <w:t>(500)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A177FF" w14:textId="78759230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A8531DA" w14:textId="72E8887A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2D64538" w14:textId="3C47A461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82,6</w:t>
            </w:r>
          </w:p>
        </w:tc>
      </w:tr>
      <w:bookmarkEnd w:id="4"/>
      <w:tr w:rsidR="00D65F3C" w:rsidRPr="002B224A" w14:paraId="7C66ABDC" w14:textId="77777777" w:rsidTr="007137FD">
        <w:trPr>
          <w:trHeight w:val="33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DFB5" w14:textId="77777777" w:rsidR="00D65F3C" w:rsidRPr="002B224A" w:rsidRDefault="00D65F3C" w:rsidP="007137FD">
            <w:pPr>
              <w:ind w:left="50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2B224A">
              <w:rPr>
                <w:rFonts w:eastAsia="Times New Roman"/>
                <w:sz w:val="24"/>
                <w:szCs w:val="24"/>
              </w:rPr>
              <w:t>(800)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E82AF9" w14:textId="23832B64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C574FD" w14:textId="66D36890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14190,6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425E248" w14:textId="6D367A74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99,8</w:t>
            </w:r>
          </w:p>
        </w:tc>
      </w:tr>
      <w:tr w:rsidR="00D65F3C" w:rsidRPr="002B224A" w14:paraId="6DA7DECB" w14:textId="77777777" w:rsidTr="007137FD">
        <w:trPr>
          <w:trHeight w:val="330"/>
        </w:trPr>
        <w:tc>
          <w:tcPr>
            <w:tcW w:w="4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C109C" w14:textId="77777777" w:rsidR="00D65F3C" w:rsidRPr="002B224A" w:rsidRDefault="00D65F3C" w:rsidP="007137FD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2B224A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A75E38C" w14:textId="7347841B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84915,0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A75882" w14:textId="37238E58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82199,7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9FB6D95" w14:textId="20FC6BC0" w:rsidR="00D65F3C" w:rsidRPr="002B224A" w:rsidRDefault="00BF2061" w:rsidP="007137FD">
            <w:pPr>
              <w:ind w:firstLine="5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96,8</w:t>
            </w:r>
          </w:p>
        </w:tc>
      </w:tr>
    </w:tbl>
    <w:p w14:paraId="5C1B00A3" w14:textId="77777777" w:rsidR="00D65F3C" w:rsidRDefault="00D65F3C" w:rsidP="00D65F3C">
      <w:pPr>
        <w:ind w:firstLine="284"/>
        <w:rPr>
          <w:szCs w:val="28"/>
        </w:rPr>
      </w:pPr>
    </w:p>
    <w:p w14:paraId="12F466D4" w14:textId="03FDF07B" w:rsidR="00D65F3C" w:rsidRPr="00382611" w:rsidRDefault="00D65F3C" w:rsidP="00D65F3C">
      <w:pPr>
        <w:ind w:firstLine="0"/>
        <w:rPr>
          <w:szCs w:val="28"/>
        </w:rPr>
      </w:pPr>
      <w:r w:rsidRPr="00382611">
        <w:rPr>
          <w:szCs w:val="28"/>
        </w:rPr>
        <w:t>Расходы бюджета исполнены в 202</w:t>
      </w:r>
      <w:r w:rsidR="00BF2061">
        <w:rPr>
          <w:szCs w:val="28"/>
        </w:rPr>
        <w:t>3</w:t>
      </w:r>
      <w:r w:rsidRPr="00382611">
        <w:rPr>
          <w:szCs w:val="28"/>
        </w:rPr>
        <w:t xml:space="preserve"> году в сумме </w:t>
      </w:r>
      <w:r w:rsidR="00BF2061">
        <w:rPr>
          <w:szCs w:val="28"/>
        </w:rPr>
        <w:t>82199,7</w:t>
      </w:r>
      <w:r w:rsidRPr="00382611">
        <w:rPr>
          <w:szCs w:val="28"/>
        </w:rPr>
        <w:t xml:space="preserve"> тыс. рублей, что составляет 9</w:t>
      </w:r>
      <w:r w:rsidR="00BF2061">
        <w:rPr>
          <w:szCs w:val="28"/>
        </w:rPr>
        <w:t>6,8</w:t>
      </w:r>
      <w:r w:rsidRPr="00382611">
        <w:rPr>
          <w:szCs w:val="28"/>
        </w:rPr>
        <w:t xml:space="preserve">% к уточненным бюджетным ассигнованиям. </w:t>
      </w:r>
    </w:p>
    <w:p w14:paraId="45197EEC" w14:textId="4810888B" w:rsidR="00D65F3C" w:rsidRPr="00382611" w:rsidRDefault="00D65F3C" w:rsidP="00D65F3C">
      <w:pPr>
        <w:ind w:firstLine="0"/>
        <w:rPr>
          <w:szCs w:val="28"/>
        </w:rPr>
      </w:pPr>
      <w:r w:rsidRPr="00382611">
        <w:rPr>
          <w:szCs w:val="28"/>
        </w:rPr>
        <w:t xml:space="preserve">По данным </w:t>
      </w:r>
      <w:r w:rsidRPr="00BF2061">
        <w:rPr>
          <w:b/>
          <w:bCs/>
          <w:i/>
          <w:iCs/>
          <w:szCs w:val="28"/>
        </w:rPr>
        <w:t>формы 0503123</w:t>
      </w:r>
      <w:r w:rsidRPr="00382611">
        <w:rPr>
          <w:szCs w:val="28"/>
        </w:rPr>
        <w:t xml:space="preserve"> «Отчет о движении денежных средств» расходы в 202</w:t>
      </w:r>
      <w:r w:rsidR="00BF2061">
        <w:rPr>
          <w:szCs w:val="28"/>
        </w:rPr>
        <w:t>3</w:t>
      </w:r>
      <w:r w:rsidRPr="00382611">
        <w:rPr>
          <w:szCs w:val="28"/>
        </w:rPr>
        <w:t xml:space="preserve"> </w:t>
      </w:r>
      <w:r w:rsidR="00BF2061" w:rsidRPr="00382611">
        <w:rPr>
          <w:szCs w:val="28"/>
        </w:rPr>
        <w:t>году сложились</w:t>
      </w:r>
      <w:r w:rsidRPr="00382611">
        <w:rPr>
          <w:szCs w:val="28"/>
        </w:rPr>
        <w:t xml:space="preserve"> следующим образом:</w:t>
      </w:r>
    </w:p>
    <w:p w14:paraId="1092D54D" w14:textId="4ABF1C80" w:rsidR="00D65F3C" w:rsidRPr="00382611" w:rsidRDefault="00D65F3C" w:rsidP="00D65F3C">
      <w:pPr>
        <w:autoSpaceDE w:val="0"/>
        <w:autoSpaceDN w:val="0"/>
        <w:adjustRightInd w:val="0"/>
        <w:ind w:firstLine="0"/>
        <w:rPr>
          <w:szCs w:val="28"/>
        </w:rPr>
      </w:pPr>
      <w:r w:rsidRPr="00382611">
        <w:rPr>
          <w:szCs w:val="28"/>
        </w:rPr>
        <w:t xml:space="preserve">(223) коммунальные </w:t>
      </w:r>
      <w:r w:rsidR="00BF2061" w:rsidRPr="00382611">
        <w:rPr>
          <w:szCs w:val="28"/>
        </w:rPr>
        <w:t>услуги –</w:t>
      </w:r>
      <w:r w:rsidRPr="00382611">
        <w:rPr>
          <w:szCs w:val="28"/>
        </w:rPr>
        <w:t xml:space="preserve"> </w:t>
      </w:r>
      <w:r w:rsidR="00734A8C">
        <w:rPr>
          <w:szCs w:val="28"/>
        </w:rPr>
        <w:t>2074,8</w:t>
      </w:r>
      <w:r w:rsidRPr="00382611">
        <w:rPr>
          <w:szCs w:val="28"/>
        </w:rPr>
        <w:t xml:space="preserve"> тыс. рублей;</w:t>
      </w:r>
    </w:p>
    <w:p w14:paraId="6C0D9A1A" w14:textId="1FEC22C5" w:rsidR="00D65F3C" w:rsidRPr="00382611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(225) работы, услуги по содержанию </w:t>
      </w:r>
      <w:r w:rsidR="00BF2061" w:rsidRPr="00382611">
        <w:rPr>
          <w:szCs w:val="28"/>
        </w:rPr>
        <w:t>имущества –</w:t>
      </w:r>
      <w:r w:rsidRPr="00382611">
        <w:rPr>
          <w:szCs w:val="28"/>
        </w:rPr>
        <w:t xml:space="preserve"> </w:t>
      </w:r>
      <w:r w:rsidR="00734A8C">
        <w:rPr>
          <w:szCs w:val="28"/>
        </w:rPr>
        <w:t>49212,5</w:t>
      </w:r>
      <w:r w:rsidRPr="00382611">
        <w:rPr>
          <w:szCs w:val="28"/>
        </w:rPr>
        <w:t xml:space="preserve"> тыс. рублей; </w:t>
      </w:r>
    </w:p>
    <w:p w14:paraId="60DDBAF3" w14:textId="1A44AAF6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(226) прочие работы, </w:t>
      </w:r>
      <w:r w:rsidR="00BF2061" w:rsidRPr="00382611">
        <w:rPr>
          <w:szCs w:val="28"/>
        </w:rPr>
        <w:t>услуги –</w:t>
      </w:r>
      <w:r w:rsidRPr="00382611">
        <w:rPr>
          <w:szCs w:val="28"/>
        </w:rPr>
        <w:t xml:space="preserve"> </w:t>
      </w:r>
      <w:r w:rsidR="00734A8C">
        <w:rPr>
          <w:szCs w:val="28"/>
        </w:rPr>
        <w:t>3283,2</w:t>
      </w:r>
      <w:r w:rsidRPr="00382611">
        <w:rPr>
          <w:szCs w:val="28"/>
        </w:rPr>
        <w:t xml:space="preserve"> тыс. рублей;</w:t>
      </w:r>
    </w:p>
    <w:p w14:paraId="4007B471" w14:textId="69D3C52A" w:rsidR="009C6EAC" w:rsidRPr="00382611" w:rsidRDefault="009C6EA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>(242)</w:t>
      </w:r>
      <w:r w:rsidR="00E14069">
        <w:rPr>
          <w:szCs w:val="28"/>
        </w:rPr>
        <w:t xml:space="preserve"> </w:t>
      </w:r>
      <w:r>
        <w:rPr>
          <w:szCs w:val="28"/>
        </w:rPr>
        <w:t>б</w:t>
      </w:r>
      <w:r w:rsidRPr="009C6EAC">
        <w:rPr>
          <w:szCs w:val="28"/>
        </w:rPr>
        <w:t>езвозмездные перечисления финансовым организациям государственного сектора на производство</w:t>
      </w:r>
      <w:r>
        <w:rPr>
          <w:szCs w:val="28"/>
        </w:rPr>
        <w:t xml:space="preserve"> – </w:t>
      </w:r>
      <w:r w:rsidR="00734A8C">
        <w:rPr>
          <w:szCs w:val="28"/>
        </w:rPr>
        <w:t>1418,5</w:t>
      </w:r>
      <w:r w:rsidRPr="00382611">
        <w:rPr>
          <w:szCs w:val="28"/>
        </w:rPr>
        <w:t xml:space="preserve"> тыс. рублей; </w:t>
      </w:r>
    </w:p>
    <w:p w14:paraId="53BA0016" w14:textId="459612C5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>(251)</w:t>
      </w:r>
      <w:r w:rsidR="009C6EAC">
        <w:rPr>
          <w:szCs w:val="28"/>
        </w:rPr>
        <w:t xml:space="preserve"> </w:t>
      </w:r>
      <w:r w:rsidRPr="00382611">
        <w:rPr>
          <w:szCs w:val="28"/>
        </w:rPr>
        <w:t xml:space="preserve">перечисления другим бюджетам бюджетной системы – </w:t>
      </w:r>
      <w:r w:rsidR="00734A8C">
        <w:rPr>
          <w:szCs w:val="28"/>
        </w:rPr>
        <w:t>6285,0</w:t>
      </w:r>
      <w:r w:rsidRPr="00382611">
        <w:rPr>
          <w:szCs w:val="28"/>
        </w:rPr>
        <w:t xml:space="preserve"> тыс. рублей; </w:t>
      </w:r>
    </w:p>
    <w:p w14:paraId="21A2242F" w14:textId="1122B14C" w:rsidR="00D65F3C" w:rsidRPr="00382611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>(26</w:t>
      </w:r>
      <w:r w:rsidR="009C6EAC">
        <w:rPr>
          <w:szCs w:val="28"/>
        </w:rPr>
        <w:t>4</w:t>
      </w:r>
      <w:r>
        <w:rPr>
          <w:szCs w:val="28"/>
        </w:rPr>
        <w:t xml:space="preserve">) </w:t>
      </w:r>
      <w:r w:rsidR="009C6EAC">
        <w:rPr>
          <w:szCs w:val="28"/>
        </w:rPr>
        <w:t>п</w:t>
      </w:r>
      <w:r w:rsidR="009C6EAC" w:rsidRPr="009C6EAC">
        <w:rPr>
          <w:szCs w:val="28"/>
        </w:rPr>
        <w:t>енсии, пособия, выплачиваемые работодателями, нанимателями бывшим работникам</w:t>
      </w:r>
      <w:r w:rsidR="009C6EAC">
        <w:rPr>
          <w:szCs w:val="28"/>
        </w:rPr>
        <w:t xml:space="preserve"> </w:t>
      </w:r>
      <w:r>
        <w:rPr>
          <w:szCs w:val="28"/>
        </w:rPr>
        <w:t xml:space="preserve">– </w:t>
      </w:r>
      <w:r w:rsidR="00734A8C">
        <w:rPr>
          <w:szCs w:val="28"/>
        </w:rPr>
        <w:t>218,9</w:t>
      </w:r>
      <w:r>
        <w:rPr>
          <w:szCs w:val="28"/>
        </w:rPr>
        <w:t xml:space="preserve"> тыс. рублей;</w:t>
      </w:r>
    </w:p>
    <w:p w14:paraId="0DE67C4E" w14:textId="260D72B3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(297) </w:t>
      </w:r>
      <w:bookmarkStart w:id="5" w:name="_Hlk129611160"/>
      <w:r w:rsidRPr="00382611">
        <w:rPr>
          <w:szCs w:val="28"/>
        </w:rPr>
        <w:t>иные выплаты текущего характера организациям</w:t>
      </w:r>
      <w:bookmarkEnd w:id="5"/>
      <w:r w:rsidRPr="00382611">
        <w:rPr>
          <w:szCs w:val="28"/>
        </w:rPr>
        <w:t xml:space="preserve"> – </w:t>
      </w:r>
      <w:r w:rsidR="00734A8C">
        <w:rPr>
          <w:szCs w:val="28"/>
        </w:rPr>
        <w:t>1</w:t>
      </w:r>
      <w:r w:rsidRPr="00382611">
        <w:rPr>
          <w:szCs w:val="28"/>
        </w:rPr>
        <w:t>,0 тыс. рублей;</w:t>
      </w:r>
    </w:p>
    <w:p w14:paraId="5E3B6279" w14:textId="0068FB8C" w:rsidR="00D65F3C" w:rsidRPr="00382611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(310) увеличение стоимости основных запасов – </w:t>
      </w:r>
      <w:r w:rsidR="00734A8C">
        <w:rPr>
          <w:szCs w:val="28"/>
        </w:rPr>
        <w:t>18382,9</w:t>
      </w:r>
      <w:r>
        <w:rPr>
          <w:szCs w:val="28"/>
        </w:rPr>
        <w:t xml:space="preserve"> тыс. рублей;</w:t>
      </w:r>
    </w:p>
    <w:p w14:paraId="273DA742" w14:textId="6711B518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(343)  </w:t>
      </w:r>
      <w:bookmarkStart w:id="6" w:name="_Hlk164155921"/>
      <w:r w:rsidRPr="00382611">
        <w:rPr>
          <w:szCs w:val="28"/>
        </w:rPr>
        <w:t xml:space="preserve">увеличение стоимости </w:t>
      </w:r>
      <w:r w:rsidR="00734A8C">
        <w:rPr>
          <w:szCs w:val="28"/>
        </w:rPr>
        <w:t>строительных</w:t>
      </w:r>
      <w:r w:rsidRPr="00382611">
        <w:rPr>
          <w:szCs w:val="28"/>
        </w:rPr>
        <w:t xml:space="preserve"> материалов – </w:t>
      </w:r>
      <w:r w:rsidR="00734A8C">
        <w:rPr>
          <w:szCs w:val="28"/>
        </w:rPr>
        <w:t>178,5</w:t>
      </w:r>
      <w:r w:rsidRPr="00382611">
        <w:rPr>
          <w:szCs w:val="28"/>
        </w:rPr>
        <w:t xml:space="preserve"> тыс. рублей</w:t>
      </w:r>
      <w:r>
        <w:rPr>
          <w:szCs w:val="28"/>
        </w:rPr>
        <w:t>;</w:t>
      </w:r>
      <w:bookmarkEnd w:id="6"/>
    </w:p>
    <w:p w14:paraId="10BD68B6" w14:textId="6B73D5D2" w:rsidR="00734A8C" w:rsidRDefault="00734A8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>(344)</w:t>
      </w:r>
      <w:r w:rsidRPr="00734A8C">
        <w:rPr>
          <w:szCs w:val="28"/>
        </w:rPr>
        <w:t xml:space="preserve"> </w:t>
      </w:r>
      <w:r w:rsidRPr="00382611">
        <w:rPr>
          <w:szCs w:val="28"/>
        </w:rPr>
        <w:t xml:space="preserve">увеличение стоимости горюче-смазочных материалов – </w:t>
      </w:r>
      <w:r>
        <w:rPr>
          <w:szCs w:val="28"/>
        </w:rPr>
        <w:t>6,4</w:t>
      </w:r>
      <w:r w:rsidRPr="00382611">
        <w:rPr>
          <w:szCs w:val="28"/>
        </w:rPr>
        <w:t xml:space="preserve"> тыс. рублей</w:t>
      </w:r>
      <w:r>
        <w:rPr>
          <w:szCs w:val="28"/>
        </w:rPr>
        <w:t>;</w:t>
      </w:r>
    </w:p>
    <w:p w14:paraId="3A112692" w14:textId="5CC34399" w:rsidR="00D65F3C" w:rsidRDefault="00D65F3C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 w:rsidRPr="00382611">
        <w:rPr>
          <w:szCs w:val="28"/>
        </w:rPr>
        <w:t xml:space="preserve">(346)  увеличение стоимости прочих оборотных запасов (материалов)- </w:t>
      </w:r>
      <w:r w:rsidR="00070341">
        <w:rPr>
          <w:szCs w:val="28"/>
        </w:rPr>
        <w:t>658,5</w:t>
      </w:r>
      <w:r w:rsidRPr="00382611">
        <w:rPr>
          <w:szCs w:val="28"/>
        </w:rPr>
        <w:t xml:space="preserve"> тыс. рублей</w:t>
      </w:r>
      <w:r w:rsidR="00EF38B2">
        <w:rPr>
          <w:szCs w:val="28"/>
        </w:rPr>
        <w:t>;</w:t>
      </w:r>
    </w:p>
    <w:p w14:paraId="579E45DE" w14:textId="4E44EF1B" w:rsidR="00EF38B2" w:rsidRDefault="00EF38B2" w:rsidP="00D65F3C">
      <w:pPr>
        <w:autoSpaceDE w:val="0"/>
        <w:autoSpaceDN w:val="0"/>
        <w:adjustRightInd w:val="0"/>
        <w:ind w:firstLine="0"/>
        <w:outlineLvl w:val="3"/>
        <w:rPr>
          <w:szCs w:val="28"/>
        </w:rPr>
      </w:pPr>
      <w:r>
        <w:rPr>
          <w:szCs w:val="28"/>
        </w:rPr>
        <w:t xml:space="preserve">(349) увеличение стоимости строительных материалов – </w:t>
      </w:r>
      <w:r w:rsidR="00070341">
        <w:rPr>
          <w:szCs w:val="28"/>
        </w:rPr>
        <w:t>464,5</w:t>
      </w:r>
      <w:r>
        <w:rPr>
          <w:szCs w:val="28"/>
        </w:rPr>
        <w:t xml:space="preserve"> тыс. рублей.</w:t>
      </w:r>
    </w:p>
    <w:p w14:paraId="708ED05C" w14:textId="74222D0F" w:rsidR="00D65F3C" w:rsidRPr="00744711" w:rsidRDefault="00D65F3C" w:rsidP="00D65F3C">
      <w:pPr>
        <w:pStyle w:val="2"/>
        <w:spacing w:after="0" w:line="240" w:lineRule="auto"/>
        <w:ind w:left="0"/>
        <w:jc w:val="both"/>
        <w:rPr>
          <w:szCs w:val="28"/>
        </w:rPr>
      </w:pPr>
      <w:r w:rsidRPr="00C129BC">
        <w:rPr>
          <w:rFonts w:ascii="Times New Roman" w:hAnsi="Times New Roman" w:cs="Times New Roman"/>
          <w:sz w:val="28"/>
          <w:szCs w:val="28"/>
        </w:rPr>
        <w:t>В результате исполнения бюджета за 202</w:t>
      </w:r>
      <w:r w:rsidR="00070341">
        <w:rPr>
          <w:rFonts w:ascii="Times New Roman" w:hAnsi="Times New Roman" w:cs="Times New Roman"/>
          <w:sz w:val="28"/>
          <w:szCs w:val="28"/>
        </w:rPr>
        <w:t>3</w:t>
      </w:r>
      <w:r w:rsidRPr="00C129BC">
        <w:rPr>
          <w:rFonts w:ascii="Times New Roman" w:hAnsi="Times New Roman" w:cs="Times New Roman"/>
          <w:sz w:val="28"/>
          <w:szCs w:val="28"/>
        </w:rPr>
        <w:t xml:space="preserve"> год сложился </w:t>
      </w:r>
      <w:r w:rsidR="00070341">
        <w:rPr>
          <w:rFonts w:ascii="Times New Roman" w:hAnsi="Times New Roman" w:cs="Times New Roman"/>
          <w:sz w:val="28"/>
          <w:szCs w:val="28"/>
        </w:rPr>
        <w:t>профицит</w:t>
      </w:r>
      <w:r w:rsidRPr="00C129B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70341">
        <w:rPr>
          <w:rFonts w:ascii="Times New Roman" w:hAnsi="Times New Roman" w:cs="Times New Roman"/>
          <w:sz w:val="28"/>
          <w:szCs w:val="28"/>
        </w:rPr>
        <w:t>863,9</w:t>
      </w:r>
      <w:r w:rsidRPr="00C129B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744711">
        <w:rPr>
          <w:szCs w:val="28"/>
        </w:rPr>
        <w:t>.</w:t>
      </w:r>
    </w:p>
    <w:p w14:paraId="31DC4997" w14:textId="5F96F75F" w:rsidR="00D65F3C" w:rsidRDefault="00070341" w:rsidP="00D65F3C">
      <w:pPr>
        <w:shd w:val="clear" w:color="auto" w:fill="FFFFFF"/>
        <w:ind w:firstLine="0"/>
        <w:rPr>
          <w:szCs w:val="28"/>
        </w:rPr>
      </w:pPr>
      <w:bookmarkStart w:id="7" w:name="_Hlk164082444"/>
      <w:r w:rsidRPr="00F42915">
        <w:rPr>
          <w:szCs w:val="28"/>
          <w:lang w:eastAsia="ru-RU"/>
        </w:rPr>
        <w:t xml:space="preserve">Сведения об остатках денежных средств на счетах получателя бюджетных средств отражены в </w:t>
      </w:r>
      <w:r w:rsidRPr="00F42915">
        <w:rPr>
          <w:b/>
          <w:i/>
          <w:iCs/>
          <w:szCs w:val="28"/>
          <w:lang w:eastAsia="ru-RU"/>
        </w:rPr>
        <w:t>ф.0503178.</w:t>
      </w:r>
      <w:bookmarkEnd w:id="7"/>
      <w:r>
        <w:rPr>
          <w:b/>
          <w:i/>
          <w:iCs/>
          <w:szCs w:val="28"/>
          <w:lang w:eastAsia="ru-RU"/>
        </w:rPr>
        <w:t xml:space="preserve"> </w:t>
      </w:r>
      <w:r w:rsidR="00D65F3C" w:rsidRPr="00744711">
        <w:rPr>
          <w:spacing w:val="-6"/>
          <w:szCs w:val="28"/>
        </w:rPr>
        <w:t>Остаток средств на счете бюджета по состоянию на 01.01.20</w:t>
      </w:r>
      <w:r w:rsidR="00D65F3C">
        <w:rPr>
          <w:spacing w:val="-6"/>
          <w:szCs w:val="28"/>
        </w:rPr>
        <w:t>22</w:t>
      </w:r>
      <w:r w:rsidR="00D65F3C" w:rsidRPr="00744711">
        <w:rPr>
          <w:spacing w:val="-6"/>
          <w:szCs w:val="28"/>
        </w:rPr>
        <w:t xml:space="preserve"> года</w:t>
      </w:r>
      <w:r w:rsidR="00D65F3C" w:rsidRPr="00744711">
        <w:rPr>
          <w:szCs w:val="28"/>
        </w:rPr>
        <w:t xml:space="preserve"> составлял </w:t>
      </w:r>
      <w:r>
        <w:rPr>
          <w:szCs w:val="28"/>
        </w:rPr>
        <w:t>501,9</w:t>
      </w:r>
      <w:r w:rsidR="00D65F3C">
        <w:rPr>
          <w:szCs w:val="28"/>
        </w:rPr>
        <w:t xml:space="preserve"> </w:t>
      </w:r>
      <w:r w:rsidR="00D65F3C" w:rsidRPr="00744711">
        <w:rPr>
          <w:szCs w:val="28"/>
        </w:rPr>
        <w:t>тыс. рублей, по состоянию на 01.01.20</w:t>
      </w:r>
      <w:r w:rsidR="00D65F3C">
        <w:rPr>
          <w:szCs w:val="28"/>
        </w:rPr>
        <w:t>2</w:t>
      </w:r>
      <w:r>
        <w:rPr>
          <w:szCs w:val="28"/>
        </w:rPr>
        <w:t>4</w:t>
      </w:r>
      <w:r w:rsidR="00D65F3C" w:rsidRPr="00744711">
        <w:rPr>
          <w:szCs w:val="28"/>
        </w:rPr>
        <w:t xml:space="preserve"> </w:t>
      </w:r>
      <w:r w:rsidR="00C578B6" w:rsidRPr="00744711">
        <w:rPr>
          <w:szCs w:val="28"/>
        </w:rPr>
        <w:t>года 1365</w:t>
      </w:r>
      <w:r>
        <w:rPr>
          <w:szCs w:val="28"/>
        </w:rPr>
        <w:t>,8</w:t>
      </w:r>
      <w:r w:rsidR="00D65F3C" w:rsidRPr="00744711">
        <w:rPr>
          <w:szCs w:val="28"/>
        </w:rPr>
        <w:t xml:space="preserve"> тыс. рублей.</w:t>
      </w:r>
    </w:p>
    <w:p w14:paraId="6C4FD916" w14:textId="77777777" w:rsidR="00EF38B2" w:rsidRDefault="00EF38B2" w:rsidP="00EF38B2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BB5">
        <w:rPr>
          <w:rFonts w:ascii="Times New Roman" w:hAnsi="Times New Roman" w:cs="Times New Roman"/>
          <w:b/>
          <w:bCs/>
          <w:sz w:val="28"/>
          <w:szCs w:val="28"/>
        </w:rPr>
        <w:t>3. Движение нефинансовых активов</w:t>
      </w:r>
    </w:p>
    <w:p w14:paraId="4E481249" w14:textId="66EB51C1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«Сведения о движении нефинансовых активов» представлены двумя </w:t>
      </w:r>
      <w:r w:rsidRPr="00070341">
        <w:rPr>
          <w:b/>
          <w:bCs/>
          <w:i/>
          <w:iCs/>
          <w:szCs w:val="28"/>
        </w:rPr>
        <w:t>формами 0503168</w:t>
      </w:r>
      <w:r>
        <w:rPr>
          <w:szCs w:val="28"/>
        </w:rPr>
        <w:t xml:space="preserve"> по видам имущества: </w:t>
      </w:r>
    </w:p>
    <w:p w14:paraId="3DF24692" w14:textId="47C057AC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1) </w:t>
      </w:r>
      <w:r w:rsidR="00070341">
        <w:rPr>
          <w:szCs w:val="28"/>
        </w:rPr>
        <w:t>имущество,</w:t>
      </w:r>
      <w:r>
        <w:rPr>
          <w:szCs w:val="28"/>
        </w:rPr>
        <w:t xml:space="preserve"> закрепленное в оперативном управлении; </w:t>
      </w:r>
    </w:p>
    <w:p w14:paraId="128A36E5" w14:textId="0CCE8519" w:rsidR="00EF38B2" w:rsidRDefault="00EF38B2" w:rsidP="00EF38B2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2) </w:t>
      </w:r>
      <w:r w:rsidR="00070341">
        <w:rPr>
          <w:szCs w:val="28"/>
        </w:rPr>
        <w:t>имущество,</w:t>
      </w:r>
      <w:r>
        <w:rPr>
          <w:szCs w:val="28"/>
        </w:rPr>
        <w:t xml:space="preserve"> составляющее муниципальную казну.</w:t>
      </w:r>
    </w:p>
    <w:p w14:paraId="5B68993A" w14:textId="4BDEE229" w:rsidR="00EF38B2" w:rsidRPr="00116DEF" w:rsidRDefault="00EF38B2" w:rsidP="00EF38B2">
      <w:pPr>
        <w:ind w:firstLine="0"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lastRenderedPageBreak/>
        <w:t xml:space="preserve">Балансовая стоимость основных средств на конец отчетного периода составила </w:t>
      </w:r>
      <w:r w:rsidR="00686BBA">
        <w:rPr>
          <w:rFonts w:eastAsia="Times New Roman"/>
          <w:szCs w:val="28"/>
          <w:lang w:eastAsia="ru-RU"/>
        </w:rPr>
        <w:t>18623,7</w:t>
      </w:r>
      <w:r w:rsidRPr="00116DEF">
        <w:rPr>
          <w:rFonts w:eastAsia="Times New Roman"/>
          <w:szCs w:val="28"/>
          <w:lang w:eastAsia="ru-RU"/>
        </w:rPr>
        <w:t xml:space="preserve"> тыс. руб., в том числе:</w:t>
      </w:r>
    </w:p>
    <w:p w14:paraId="56CB1C16" w14:textId="6DD37378" w:rsidR="00EF38B2" w:rsidRPr="00116DEF" w:rsidRDefault="00EF38B2" w:rsidP="00EF38B2">
      <w:pPr>
        <w:spacing w:after="200" w:line="276" w:lineRule="auto"/>
        <w:ind w:firstLine="0"/>
        <w:contextualSpacing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- недвижимое имущество (нежилые здания и сооружения) </w:t>
      </w:r>
      <w:r w:rsidR="00981B5A" w:rsidRPr="00116DEF">
        <w:rPr>
          <w:rFonts w:eastAsia="Times New Roman"/>
          <w:szCs w:val="28"/>
          <w:lang w:eastAsia="ru-RU"/>
        </w:rPr>
        <w:t>–</w:t>
      </w:r>
      <w:r w:rsidRPr="00116DEF">
        <w:rPr>
          <w:rFonts w:eastAsia="Times New Roman"/>
          <w:szCs w:val="28"/>
          <w:lang w:eastAsia="ru-RU"/>
        </w:rPr>
        <w:t xml:space="preserve"> </w:t>
      </w:r>
      <w:r w:rsidR="00981B5A" w:rsidRPr="00116DEF">
        <w:rPr>
          <w:rFonts w:eastAsia="Times New Roman"/>
          <w:szCs w:val="28"/>
          <w:lang w:eastAsia="ru-RU"/>
        </w:rPr>
        <w:t>1326,4</w:t>
      </w:r>
      <w:r w:rsidRPr="00116DEF">
        <w:rPr>
          <w:rFonts w:eastAsia="Times New Roman"/>
          <w:szCs w:val="28"/>
          <w:lang w:eastAsia="ru-RU"/>
        </w:rPr>
        <w:t xml:space="preserve"> тыс. рублей;</w:t>
      </w:r>
    </w:p>
    <w:p w14:paraId="490165E9" w14:textId="12BDB9C0" w:rsidR="00EF38B2" w:rsidRPr="00116DEF" w:rsidRDefault="00EF38B2" w:rsidP="00EF38B2">
      <w:pPr>
        <w:spacing w:after="200" w:line="276" w:lineRule="auto"/>
        <w:ind w:firstLine="0"/>
        <w:contextualSpacing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- иное движимое имущество – </w:t>
      </w:r>
      <w:r w:rsidR="00686BBA">
        <w:rPr>
          <w:rFonts w:eastAsia="Times New Roman"/>
          <w:szCs w:val="28"/>
          <w:lang w:eastAsia="ru-RU"/>
        </w:rPr>
        <w:t>17297,3</w:t>
      </w:r>
      <w:r w:rsidRPr="00116DEF">
        <w:rPr>
          <w:rFonts w:eastAsia="Times New Roman"/>
          <w:szCs w:val="28"/>
          <w:lang w:eastAsia="ru-RU"/>
        </w:rPr>
        <w:t xml:space="preserve"> тыс. рублей.</w:t>
      </w:r>
    </w:p>
    <w:p w14:paraId="55AF8764" w14:textId="58E1684B" w:rsidR="00EF38B2" w:rsidRPr="00116DEF" w:rsidRDefault="00EF38B2" w:rsidP="00EF38B2">
      <w:pPr>
        <w:ind w:firstLine="0"/>
        <w:rPr>
          <w:rFonts w:eastAsia="Times New Roman"/>
          <w:szCs w:val="28"/>
          <w:lang w:eastAsia="ru-RU"/>
        </w:rPr>
      </w:pPr>
      <w:r w:rsidRPr="00116DEF">
        <w:rPr>
          <w:rFonts w:eastAsia="Times New Roman"/>
          <w:szCs w:val="28"/>
          <w:lang w:eastAsia="ru-RU"/>
        </w:rPr>
        <w:t xml:space="preserve">Амортизация основных средств на конец отчетного периода составляет </w:t>
      </w:r>
      <w:r w:rsidR="00686BBA">
        <w:rPr>
          <w:rFonts w:eastAsia="Times New Roman"/>
          <w:szCs w:val="28"/>
          <w:lang w:eastAsia="ru-RU"/>
        </w:rPr>
        <w:t>7627,6</w:t>
      </w:r>
      <w:r w:rsidRPr="00116DEF">
        <w:rPr>
          <w:rFonts w:eastAsia="Times New Roman"/>
          <w:szCs w:val="28"/>
          <w:lang w:eastAsia="ru-RU"/>
        </w:rPr>
        <w:t xml:space="preserve"> рублей (</w:t>
      </w:r>
      <w:r w:rsidR="00686BBA">
        <w:rPr>
          <w:rFonts w:eastAsia="Times New Roman"/>
          <w:szCs w:val="28"/>
          <w:lang w:eastAsia="ru-RU"/>
        </w:rPr>
        <w:t>51,9</w:t>
      </w:r>
      <w:r w:rsidRPr="00116DEF">
        <w:rPr>
          <w:rFonts w:eastAsia="Times New Roman"/>
          <w:szCs w:val="28"/>
          <w:lang w:eastAsia="ru-RU"/>
        </w:rPr>
        <w:t>% от стоимости).</w:t>
      </w:r>
    </w:p>
    <w:p w14:paraId="2248B1A9" w14:textId="77777777" w:rsidR="00B756D9" w:rsidRPr="008207B2" w:rsidRDefault="00615F8F" w:rsidP="00EF38B2">
      <w:pPr>
        <w:autoSpaceDE w:val="0"/>
        <w:autoSpaceDN w:val="0"/>
        <w:adjustRightInd w:val="0"/>
        <w:spacing w:before="120"/>
        <w:ind w:firstLine="0"/>
        <w:jc w:val="center"/>
        <w:outlineLvl w:val="3"/>
        <w:rPr>
          <w:rFonts w:eastAsia="Times New Roman"/>
          <w:b/>
          <w:sz w:val="26"/>
          <w:szCs w:val="26"/>
          <w:lang w:eastAsia="ru-RU"/>
        </w:rPr>
      </w:pPr>
      <w:r w:rsidRPr="008207B2">
        <w:rPr>
          <w:rFonts w:eastAsia="Times New Roman"/>
          <w:b/>
          <w:sz w:val="26"/>
          <w:szCs w:val="26"/>
          <w:lang w:eastAsia="ru-RU"/>
        </w:rPr>
        <w:t>4</w:t>
      </w:r>
      <w:r w:rsidR="00B756D9" w:rsidRPr="008207B2">
        <w:rPr>
          <w:rFonts w:eastAsia="Times New Roman"/>
          <w:b/>
          <w:sz w:val="26"/>
          <w:szCs w:val="26"/>
          <w:lang w:eastAsia="ru-RU"/>
        </w:rPr>
        <w:t xml:space="preserve">. </w:t>
      </w:r>
      <w:r w:rsidR="00466B64" w:rsidRPr="008207B2">
        <w:rPr>
          <w:rFonts w:eastAsia="Times New Roman"/>
          <w:b/>
          <w:sz w:val="26"/>
          <w:szCs w:val="26"/>
          <w:lang w:eastAsia="ru-RU"/>
        </w:rPr>
        <w:t>А</w:t>
      </w:r>
      <w:r w:rsidR="00B756D9" w:rsidRPr="008207B2">
        <w:rPr>
          <w:rFonts w:eastAsia="Times New Roman"/>
          <w:b/>
          <w:sz w:val="26"/>
          <w:szCs w:val="26"/>
          <w:lang w:eastAsia="ru-RU"/>
        </w:rPr>
        <w:t>нализ состояния дебиторской и кредиторской задолженности.</w:t>
      </w:r>
    </w:p>
    <w:p w14:paraId="31EE0610" w14:textId="26C7C548" w:rsidR="007710C6" w:rsidRDefault="007710C6" w:rsidP="007710C6">
      <w:pPr>
        <w:ind w:firstLine="567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дебиторской и кредиторской задолженности нашли отражение в </w:t>
      </w:r>
      <w:r>
        <w:rPr>
          <w:b/>
          <w:color w:val="000000"/>
        </w:rPr>
        <w:t xml:space="preserve">форме </w:t>
      </w:r>
      <w:r w:rsidRPr="001A4FC6">
        <w:rPr>
          <w:b/>
          <w:color w:val="000000"/>
        </w:rPr>
        <w:t>0503169</w:t>
      </w:r>
      <w:r w:rsidRPr="001A4FC6">
        <w:rPr>
          <w:color w:val="000000"/>
        </w:rPr>
        <w:t xml:space="preserve"> </w:t>
      </w:r>
      <w:r>
        <w:rPr>
          <w:color w:val="000000"/>
        </w:rPr>
        <w:t>«</w:t>
      </w:r>
      <w:r w:rsidRPr="001A4FC6">
        <w:rPr>
          <w:color w:val="000000"/>
        </w:rPr>
        <w:t xml:space="preserve">Сведения по дебиторской и кредиторской задолженности». </w:t>
      </w:r>
    </w:p>
    <w:p w14:paraId="136B6E2E" w14:textId="7105B275" w:rsidR="007710C6" w:rsidRPr="00081F2B" w:rsidRDefault="007710C6" w:rsidP="007710C6">
      <w:pPr>
        <w:rPr>
          <w:b/>
          <w:bCs/>
          <w:color w:val="000000"/>
          <w:sz w:val="20"/>
          <w:szCs w:val="20"/>
        </w:rPr>
      </w:pPr>
      <w:r w:rsidRPr="007710C6">
        <w:rPr>
          <w:b/>
          <w:bCs/>
          <w:i/>
          <w:iCs/>
          <w:color w:val="000000"/>
        </w:rPr>
        <w:t>Дебиторская задолженность</w:t>
      </w:r>
      <w:r w:rsidRPr="00CA38AE">
        <w:rPr>
          <w:color w:val="000000"/>
        </w:rPr>
        <w:t xml:space="preserve"> на начало 202</w:t>
      </w:r>
      <w:r>
        <w:rPr>
          <w:color w:val="000000"/>
        </w:rPr>
        <w:t>3</w:t>
      </w:r>
      <w:r w:rsidRPr="00CA38AE">
        <w:rPr>
          <w:color w:val="000000"/>
        </w:rPr>
        <w:t xml:space="preserve"> года составляла </w:t>
      </w:r>
      <w:r>
        <w:rPr>
          <w:color w:val="000000"/>
        </w:rPr>
        <w:t>67</w:t>
      </w:r>
      <w:r>
        <w:rPr>
          <w:bCs/>
          <w:color w:val="000000"/>
        </w:rPr>
        <w:t xml:space="preserve"> 098,7 тыс. </w:t>
      </w:r>
      <w:r w:rsidRPr="00664F8B">
        <w:rPr>
          <w:color w:val="000000"/>
        </w:rPr>
        <w:t>руб</w:t>
      </w:r>
      <w:r>
        <w:rPr>
          <w:color w:val="000000"/>
        </w:rPr>
        <w:t>лей, в том числе по счёту 1 205.11 000 составила 2 034,3 тыс. рублей (задолженность плательщиков по налоговым платежам за земельный и имущественный налог), по счёту 1 205.23 000 составила 437,7 тыс. рублей (начислена арендная плата за земельные участки), по счёту 1 205.51 000 составила 64 626,7 тыс. рублей (начислены доходы будущих периодов, лимиты трёх лет).</w:t>
      </w:r>
    </w:p>
    <w:p w14:paraId="1B6E9070" w14:textId="072DA63F" w:rsidR="007710C6" w:rsidRPr="00081F2B" w:rsidRDefault="007710C6" w:rsidP="007710C6">
      <w:pPr>
        <w:rPr>
          <w:b/>
          <w:bCs/>
          <w:color w:val="000000"/>
          <w:sz w:val="20"/>
          <w:szCs w:val="20"/>
        </w:rPr>
      </w:pPr>
      <w:r>
        <w:rPr>
          <w:color w:val="000000"/>
        </w:rPr>
        <w:t>Дебиторская задолженность н</w:t>
      </w:r>
      <w:r w:rsidRPr="00CA38AE">
        <w:rPr>
          <w:color w:val="000000"/>
        </w:rPr>
        <w:t>а конец 202</w:t>
      </w:r>
      <w:r>
        <w:rPr>
          <w:color w:val="000000"/>
        </w:rPr>
        <w:t>3</w:t>
      </w:r>
      <w:r w:rsidRPr="00CA38AE">
        <w:rPr>
          <w:color w:val="000000"/>
        </w:rPr>
        <w:t xml:space="preserve"> </w:t>
      </w:r>
      <w:r w:rsidRPr="00664F8B">
        <w:rPr>
          <w:color w:val="000000"/>
        </w:rPr>
        <w:t>года</w:t>
      </w:r>
      <w:r>
        <w:rPr>
          <w:color w:val="000000"/>
        </w:rPr>
        <w:t xml:space="preserve"> составила</w:t>
      </w:r>
      <w:r w:rsidRPr="00664F8B">
        <w:rPr>
          <w:color w:val="000000"/>
        </w:rPr>
        <w:t xml:space="preserve"> </w:t>
      </w:r>
      <w:r>
        <w:rPr>
          <w:bCs/>
          <w:color w:val="000000"/>
        </w:rPr>
        <w:t xml:space="preserve">52 242,2 тыс. </w:t>
      </w:r>
      <w:r w:rsidRPr="00664F8B">
        <w:rPr>
          <w:color w:val="000000"/>
        </w:rPr>
        <w:t>руб</w:t>
      </w:r>
      <w:r>
        <w:rPr>
          <w:color w:val="000000"/>
        </w:rPr>
        <w:t>лей, в том числе по счёту 1 205.11 000 составила 1 363,3 тыс. рублей (задолженность плательщиков по налоговым платежам за земельный и имущественный налог), по счёту 1 205. 51 000 составила 50 878,9 тыс.  рублей (начислены доходы будущих периодов, лимиты трёх лет).</w:t>
      </w:r>
    </w:p>
    <w:p w14:paraId="70AC0947" w14:textId="7D4F60D3" w:rsidR="007710C6" w:rsidRPr="007710C6" w:rsidRDefault="007710C6" w:rsidP="007710C6">
      <w:pPr>
        <w:ind w:firstLine="567"/>
        <w:rPr>
          <w:bCs/>
          <w:iCs/>
          <w:color w:val="000000"/>
        </w:rPr>
      </w:pPr>
      <w:r w:rsidRPr="001F6982">
        <w:rPr>
          <w:bCs/>
          <w:iCs/>
          <w:color w:val="000000"/>
        </w:rPr>
        <w:t>Основной причиной образования дебиторской задолженности по состоянию на 01.01.202</w:t>
      </w:r>
      <w:r>
        <w:rPr>
          <w:bCs/>
          <w:iCs/>
          <w:color w:val="000000"/>
        </w:rPr>
        <w:t xml:space="preserve">4 года </w:t>
      </w:r>
      <w:r w:rsidRPr="001F6982">
        <w:rPr>
          <w:bCs/>
          <w:iCs/>
          <w:color w:val="000000"/>
        </w:rPr>
        <w:t>является то, что физическими лицами по сроку уплаты 0</w:t>
      </w:r>
      <w:r>
        <w:rPr>
          <w:bCs/>
          <w:iCs/>
          <w:color w:val="000000"/>
        </w:rPr>
        <w:t>1</w:t>
      </w:r>
      <w:r w:rsidRPr="001F6982">
        <w:rPr>
          <w:bCs/>
          <w:iCs/>
          <w:color w:val="000000"/>
        </w:rPr>
        <w:t>.12.202</w:t>
      </w:r>
      <w:r>
        <w:rPr>
          <w:bCs/>
          <w:iCs/>
          <w:color w:val="000000"/>
        </w:rPr>
        <w:t>3</w:t>
      </w:r>
      <w:r w:rsidRPr="001F6982">
        <w:rPr>
          <w:bCs/>
          <w:iCs/>
          <w:color w:val="000000"/>
        </w:rPr>
        <w:t xml:space="preserve"> года не осуществлена в полном объеме оплата имущественных налогов.</w:t>
      </w:r>
    </w:p>
    <w:p w14:paraId="12ECE8B3" w14:textId="4352061B" w:rsidR="007710C6" w:rsidRPr="00062E74" w:rsidRDefault="007710C6" w:rsidP="007710C6">
      <w:pPr>
        <w:rPr>
          <w:color w:val="000000"/>
        </w:rPr>
      </w:pPr>
      <w:r w:rsidRPr="007710C6">
        <w:rPr>
          <w:b/>
          <w:bCs/>
          <w:i/>
          <w:iCs/>
          <w:color w:val="000000"/>
        </w:rPr>
        <w:t>Кредиторская задолженность</w:t>
      </w:r>
      <w:r w:rsidRPr="00062E74">
        <w:rPr>
          <w:color w:val="000000"/>
        </w:rPr>
        <w:t xml:space="preserve"> на начало 202</w:t>
      </w:r>
      <w:r>
        <w:rPr>
          <w:color w:val="000000"/>
        </w:rPr>
        <w:t>3</w:t>
      </w:r>
      <w:r w:rsidRPr="00062E74">
        <w:rPr>
          <w:color w:val="000000"/>
        </w:rPr>
        <w:t xml:space="preserve"> года составляла </w:t>
      </w:r>
      <w:r>
        <w:rPr>
          <w:color w:val="000000"/>
        </w:rPr>
        <w:t xml:space="preserve">70 332,1 тыс. </w:t>
      </w:r>
      <w:r w:rsidRPr="00062E74">
        <w:rPr>
          <w:color w:val="000000"/>
        </w:rPr>
        <w:t>рублей,</w:t>
      </w:r>
      <w:r>
        <w:rPr>
          <w:color w:val="000000"/>
        </w:rPr>
        <w:t xml:space="preserve"> </w:t>
      </w:r>
      <w:r w:rsidRPr="00062E74">
        <w:rPr>
          <w:color w:val="000000"/>
        </w:rPr>
        <w:t>в том числе по счёту 1 205.11 000 составила 5</w:t>
      </w:r>
      <w:r>
        <w:rPr>
          <w:color w:val="000000"/>
        </w:rPr>
        <w:t xml:space="preserve"> 220,7 тыс. </w:t>
      </w:r>
      <w:r w:rsidRPr="00062E74">
        <w:rPr>
          <w:color w:val="000000"/>
        </w:rPr>
        <w:t xml:space="preserve">рублей (задолженность плательщиков по налоговым платежам за земельный и имущественный налог), по счёту 1 401. 40 123 составила </w:t>
      </w:r>
      <w:r>
        <w:rPr>
          <w:color w:val="000000"/>
        </w:rPr>
        <w:t xml:space="preserve">437,7 тыс. </w:t>
      </w:r>
      <w:r w:rsidRPr="00062E74">
        <w:rPr>
          <w:color w:val="000000"/>
        </w:rPr>
        <w:t xml:space="preserve">рублей (начислена арендная плата за земельные участки), по счёту 1 401. 49 151 составила </w:t>
      </w:r>
      <w:r>
        <w:rPr>
          <w:color w:val="000000"/>
        </w:rPr>
        <w:t xml:space="preserve">64 626,7 тыс. </w:t>
      </w:r>
      <w:r w:rsidRPr="00062E74">
        <w:rPr>
          <w:color w:val="000000"/>
        </w:rPr>
        <w:t xml:space="preserve">рублей (начислены доходы будущих периодов, </w:t>
      </w:r>
      <w:r>
        <w:rPr>
          <w:color w:val="000000"/>
        </w:rPr>
        <w:t>лимиты</w:t>
      </w:r>
      <w:r w:rsidRPr="00062E74">
        <w:rPr>
          <w:color w:val="000000"/>
        </w:rPr>
        <w:t xml:space="preserve"> трёх лет)</w:t>
      </w:r>
      <w:r>
        <w:rPr>
          <w:color w:val="000000"/>
        </w:rPr>
        <w:t>, по счёту 1 401 40 111 составила 47,0 тыс. рублей (начислены доходы по налоговым платежам).</w:t>
      </w:r>
    </w:p>
    <w:p w14:paraId="25A7D0E7" w14:textId="70AC6937" w:rsidR="007710C6" w:rsidRDefault="007710C6" w:rsidP="007710C6">
      <w:pPr>
        <w:rPr>
          <w:color w:val="000000"/>
        </w:rPr>
      </w:pPr>
      <w:r w:rsidRPr="007710C6">
        <w:rPr>
          <w:color w:val="000000"/>
        </w:rPr>
        <w:t>Кредиторская задолженность</w:t>
      </w:r>
      <w:r w:rsidRPr="00062E74">
        <w:rPr>
          <w:color w:val="000000"/>
        </w:rPr>
        <w:t xml:space="preserve"> на конец 202</w:t>
      </w:r>
      <w:r>
        <w:rPr>
          <w:color w:val="000000"/>
        </w:rPr>
        <w:t>3</w:t>
      </w:r>
      <w:r w:rsidRPr="00062E74">
        <w:rPr>
          <w:color w:val="000000"/>
        </w:rPr>
        <w:t xml:space="preserve"> года </w:t>
      </w:r>
      <w:r>
        <w:rPr>
          <w:color w:val="000000"/>
        </w:rPr>
        <w:t xml:space="preserve">составляла 51 636,0 тыс. </w:t>
      </w:r>
      <w:r w:rsidRPr="00062E74">
        <w:rPr>
          <w:color w:val="000000"/>
        </w:rPr>
        <w:t>руб</w:t>
      </w:r>
      <w:r>
        <w:rPr>
          <w:color w:val="000000"/>
        </w:rPr>
        <w:t xml:space="preserve">лей, </w:t>
      </w:r>
      <w:r w:rsidRPr="00062E74">
        <w:rPr>
          <w:color w:val="000000"/>
        </w:rPr>
        <w:t>в</w:t>
      </w:r>
      <w:r>
        <w:rPr>
          <w:color w:val="000000"/>
        </w:rPr>
        <w:t xml:space="preserve"> том числе по счёту 1 205.11 000 составила 664,8 тыс. рублей (задолженность плательщиков по налоговым платежам за земельный и имущественный налог), по счёту 1 401. 40 123 составила 92,3 тыс. рублей (начислена арендная плата за земельные участки), по счёту 1 401. 49 151 составила 50 878,9 тыс. рублей (начислены доходы будущих </w:t>
      </w:r>
      <w:r w:rsidRPr="00CA38AE">
        <w:rPr>
          <w:color w:val="000000"/>
        </w:rPr>
        <w:t>периодов</w:t>
      </w:r>
      <w:r>
        <w:rPr>
          <w:color w:val="000000"/>
        </w:rPr>
        <w:t xml:space="preserve">, лимиты трёх лет), </w:t>
      </w:r>
    </w:p>
    <w:p w14:paraId="3205F866" w14:textId="77777777" w:rsidR="007710C6" w:rsidRPr="004478ED" w:rsidRDefault="007710C6" w:rsidP="007710C6">
      <w:pPr>
        <w:rPr>
          <w:color w:val="000000"/>
          <w:sz w:val="20"/>
          <w:szCs w:val="20"/>
        </w:rPr>
      </w:pPr>
    </w:p>
    <w:p w14:paraId="2A1729A9" w14:textId="77777777" w:rsidR="007710C6" w:rsidRDefault="007710C6" w:rsidP="007710C6">
      <w:pPr>
        <w:ind w:firstLine="567"/>
        <w:rPr>
          <w:color w:val="000000"/>
        </w:rPr>
      </w:pPr>
      <w:r w:rsidRPr="008A1D6D">
        <w:rPr>
          <w:color w:val="000000"/>
        </w:rPr>
        <w:lastRenderedPageBreak/>
        <w:t>Причиной образования кредиторской задолженности по состоянию на 01.01.202</w:t>
      </w:r>
      <w:r>
        <w:rPr>
          <w:color w:val="000000"/>
        </w:rPr>
        <w:t xml:space="preserve">4 года </w:t>
      </w:r>
      <w:r w:rsidRPr="008A1D6D">
        <w:rPr>
          <w:color w:val="000000"/>
        </w:rPr>
        <w:t>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14:paraId="04E38A88" w14:textId="15F63FF4" w:rsidR="007710C6" w:rsidRPr="00C578B6" w:rsidRDefault="007710C6" w:rsidP="00C578B6">
      <w:pPr>
        <w:ind w:firstLine="567"/>
      </w:pPr>
      <w:r w:rsidRPr="00613C86">
        <w:t>Просроченной кредиторской задолженности нет.</w:t>
      </w:r>
      <w:r w:rsidRPr="00EE5E2C">
        <w:t xml:space="preserve"> </w:t>
      </w:r>
    </w:p>
    <w:p w14:paraId="286F50E1" w14:textId="3D262AD6" w:rsidR="007710C6" w:rsidRPr="00440CDB" w:rsidRDefault="007710C6" w:rsidP="009867A4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 xml:space="preserve">Контроль за сохранностью МЦ, сличение фактического наличия остатков ОС с бухгалтерским учетом проводился </w:t>
      </w:r>
      <w:r w:rsidR="008B3356" w:rsidRPr="00F42915">
        <w:rPr>
          <w:rFonts w:eastAsia="Times New Roman"/>
          <w:szCs w:val="28"/>
          <w:lang w:eastAsia="ru-RU"/>
        </w:rPr>
        <w:t xml:space="preserve">по распоряжению </w:t>
      </w:r>
      <w:r w:rsidRPr="00F42915">
        <w:rPr>
          <w:rFonts w:eastAsia="Times New Roman"/>
          <w:szCs w:val="28"/>
          <w:lang w:eastAsia="ru-RU"/>
        </w:rPr>
        <w:t xml:space="preserve">администрации </w:t>
      </w:r>
      <w:r w:rsidR="00440CDB">
        <w:rPr>
          <w:rFonts w:eastAsia="Times New Roman"/>
          <w:szCs w:val="28"/>
          <w:lang w:eastAsia="ru-RU"/>
        </w:rPr>
        <w:t xml:space="preserve">Дубровского района </w:t>
      </w:r>
      <w:r w:rsidRPr="00F42915">
        <w:rPr>
          <w:szCs w:val="28"/>
        </w:rPr>
        <w:t xml:space="preserve">№ </w:t>
      </w:r>
      <w:r w:rsidR="00440CDB">
        <w:rPr>
          <w:szCs w:val="28"/>
        </w:rPr>
        <w:t>506р</w:t>
      </w:r>
      <w:r w:rsidRPr="00F42915">
        <w:rPr>
          <w:szCs w:val="28"/>
        </w:rPr>
        <w:t xml:space="preserve"> от </w:t>
      </w:r>
      <w:r w:rsidR="00440CDB">
        <w:rPr>
          <w:szCs w:val="28"/>
        </w:rPr>
        <w:t>04</w:t>
      </w:r>
      <w:r w:rsidRPr="00F42915">
        <w:rPr>
          <w:szCs w:val="28"/>
        </w:rPr>
        <w:t xml:space="preserve">.12.2023г. </w:t>
      </w:r>
      <w:r w:rsidRPr="00F42915">
        <w:rPr>
          <w:rFonts w:eastAsia="Times New Roman"/>
          <w:szCs w:val="28"/>
          <w:lang w:eastAsia="ru-RU"/>
        </w:rPr>
        <w:t xml:space="preserve">способом проведения ежегодной инвентаризации основных средств и материальных ценностей. При проведении инвентаризации излишек и недостач не обнаружено.  </w:t>
      </w:r>
    </w:p>
    <w:p w14:paraId="0D5EE657" w14:textId="420D1D3F" w:rsidR="00440CDB" w:rsidRPr="00440CDB" w:rsidRDefault="00070341" w:rsidP="00440CDB">
      <w:pPr>
        <w:ind w:firstLine="567"/>
        <w:rPr>
          <w:szCs w:val="28"/>
        </w:rPr>
      </w:pPr>
      <w:r w:rsidRPr="00440CDB">
        <w:rPr>
          <w:szCs w:val="28"/>
        </w:rPr>
        <w:t>Сведения о государственном долге отражены в</w:t>
      </w:r>
      <w:r w:rsidRPr="00440CDB">
        <w:rPr>
          <w:b/>
          <w:szCs w:val="28"/>
        </w:rPr>
        <w:t xml:space="preserve"> ф. 0503172 </w:t>
      </w:r>
      <w:r w:rsidRPr="00440CDB">
        <w:rPr>
          <w:szCs w:val="28"/>
        </w:rPr>
        <w:t>«Сведения о государственном (муниципальном) долге». По состоянию на 01.01.2024 г. муниципального долга нет.</w:t>
      </w:r>
    </w:p>
    <w:p w14:paraId="0CB74577" w14:textId="77777777" w:rsidR="00440CDB" w:rsidRPr="00F42915" w:rsidRDefault="00440CDB" w:rsidP="00440CDB">
      <w:pPr>
        <w:shd w:val="clear" w:color="auto" w:fill="FFFFFF"/>
        <w:spacing w:line="317" w:lineRule="exact"/>
        <w:ind w:right="34" w:firstLine="720"/>
        <w:rPr>
          <w:szCs w:val="28"/>
        </w:rPr>
      </w:pPr>
      <w:r w:rsidRPr="00F42915">
        <w:rPr>
          <w:szCs w:val="28"/>
        </w:rPr>
        <w:t xml:space="preserve">Анализ формы </w:t>
      </w:r>
      <w:r w:rsidRPr="00F42915">
        <w:rPr>
          <w:b/>
          <w:bCs/>
          <w:i/>
          <w:iCs/>
          <w:szCs w:val="28"/>
        </w:rPr>
        <w:t>0503160</w:t>
      </w:r>
      <w:r w:rsidRPr="00F42915">
        <w:rPr>
          <w:szCs w:val="28"/>
        </w:rPr>
        <w:t xml:space="preserve"> «Пояснительная записка» показал, что данные форм и таблиц пояснительной записки соответствуют данным баланса (ф. 0503130) и отчету об исполнении бюджета (ф. 0503127). </w:t>
      </w:r>
    </w:p>
    <w:p w14:paraId="6DF09FFF" w14:textId="0D2C2844" w:rsidR="00440CDB" w:rsidRPr="00AE65DA" w:rsidRDefault="00440CDB" w:rsidP="00440CDB">
      <w:pPr>
        <w:autoSpaceDE w:val="0"/>
        <w:autoSpaceDN w:val="0"/>
        <w:adjustRightInd w:val="0"/>
        <w:ind w:firstLine="0"/>
        <w:rPr>
          <w:rFonts w:eastAsiaTheme="minorHAnsi"/>
          <w:b/>
          <w:bCs/>
          <w:i/>
          <w:iCs/>
          <w:szCs w:val="28"/>
        </w:rPr>
      </w:pPr>
      <w:r w:rsidRPr="00AE65DA">
        <w:rPr>
          <w:b/>
          <w:bCs/>
          <w:i/>
          <w:iCs/>
          <w:szCs w:val="28"/>
        </w:rPr>
        <w:t xml:space="preserve">В нарушении </w:t>
      </w:r>
      <w:hyperlink r:id="rId17" w:history="1">
        <w:r w:rsidRPr="00AE65DA">
          <w:rPr>
            <w:rFonts w:eastAsiaTheme="minorHAnsi"/>
            <w:b/>
            <w:bCs/>
            <w:i/>
            <w:iCs/>
            <w:szCs w:val="28"/>
          </w:rPr>
          <w:t>п. п. 152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, </w:t>
      </w:r>
      <w:hyperlink r:id="rId18" w:history="1">
        <w:r w:rsidRPr="00AE65DA">
          <w:rPr>
            <w:rFonts w:eastAsiaTheme="minorHAnsi"/>
            <w:b/>
            <w:bCs/>
            <w:i/>
            <w:iCs/>
            <w:szCs w:val="28"/>
          </w:rPr>
          <w:t>159.5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 Инструкции N 191н в</w:t>
      </w:r>
      <w:r w:rsidRPr="00AE65DA">
        <w:rPr>
          <w:b/>
          <w:bCs/>
          <w:i/>
          <w:iCs/>
          <w:szCs w:val="28"/>
        </w:rPr>
        <w:t xml:space="preserve"> Таблице № 12 прилагаемой к Пояснительной записке формы 0503160 </w:t>
      </w:r>
      <w:r>
        <w:rPr>
          <w:b/>
          <w:bCs/>
          <w:i/>
          <w:iCs/>
          <w:szCs w:val="28"/>
        </w:rPr>
        <w:t>не заполнены строки 010,011,012</w:t>
      </w:r>
      <w:r w:rsidRPr="00AE65DA">
        <w:rPr>
          <w:b/>
          <w:bCs/>
          <w:i/>
          <w:iCs/>
          <w:szCs w:val="28"/>
        </w:rPr>
        <w:t xml:space="preserve">. В строке 021 не описаны меры необходимые для поддержания ОС в соответствующем техническом состоянии. В строке 022 </w:t>
      </w:r>
      <w:r>
        <w:rPr>
          <w:b/>
          <w:bCs/>
          <w:i/>
          <w:iCs/>
          <w:szCs w:val="28"/>
        </w:rPr>
        <w:t xml:space="preserve">указана </w:t>
      </w:r>
      <w:r w:rsidR="008B3356" w:rsidRPr="00AE65DA">
        <w:rPr>
          <w:b/>
          <w:bCs/>
          <w:i/>
          <w:iCs/>
          <w:szCs w:val="28"/>
        </w:rPr>
        <w:t>информация</w:t>
      </w:r>
      <w:r w:rsidR="008B3356">
        <w:rPr>
          <w:b/>
          <w:bCs/>
          <w:i/>
          <w:iCs/>
          <w:szCs w:val="28"/>
        </w:rPr>
        <w:t xml:space="preserve"> стоимости</w:t>
      </w:r>
      <w:r w:rsidR="008B3356" w:rsidRPr="00440CDB">
        <w:t xml:space="preserve"> </w:t>
      </w:r>
      <w:r w:rsidR="008B3356" w:rsidRPr="00440CDB">
        <w:rPr>
          <w:b/>
          <w:bCs/>
          <w:i/>
          <w:iCs/>
          <w:szCs w:val="28"/>
        </w:rPr>
        <w:t>Основны</w:t>
      </w:r>
      <w:r w:rsidR="008B3356">
        <w:rPr>
          <w:b/>
          <w:bCs/>
          <w:i/>
          <w:iCs/>
          <w:szCs w:val="28"/>
        </w:rPr>
        <w:t>х</w:t>
      </w:r>
      <w:r w:rsidR="008B3356" w:rsidRPr="00440CDB">
        <w:rPr>
          <w:b/>
          <w:bCs/>
          <w:i/>
          <w:iCs/>
          <w:szCs w:val="28"/>
        </w:rPr>
        <w:t xml:space="preserve"> фонд</w:t>
      </w:r>
      <w:r w:rsidR="008B3356">
        <w:rPr>
          <w:b/>
          <w:bCs/>
          <w:i/>
          <w:iCs/>
          <w:szCs w:val="28"/>
        </w:rPr>
        <w:t>ов</w:t>
      </w:r>
      <w:r w:rsidR="008B3356" w:rsidRPr="00440CDB">
        <w:rPr>
          <w:b/>
          <w:bCs/>
          <w:i/>
          <w:iCs/>
          <w:szCs w:val="28"/>
        </w:rPr>
        <w:t xml:space="preserve"> учреждения,</w:t>
      </w:r>
      <w:r w:rsidRPr="00440CDB">
        <w:rPr>
          <w:b/>
          <w:bCs/>
          <w:i/>
          <w:iCs/>
          <w:szCs w:val="28"/>
        </w:rPr>
        <w:t xml:space="preserve"> составляю</w:t>
      </w:r>
      <w:r>
        <w:rPr>
          <w:b/>
          <w:bCs/>
          <w:i/>
          <w:iCs/>
          <w:szCs w:val="28"/>
        </w:rPr>
        <w:t>щих</w:t>
      </w:r>
      <w:r w:rsidRPr="00440CDB">
        <w:rPr>
          <w:b/>
          <w:bCs/>
          <w:i/>
          <w:iCs/>
          <w:szCs w:val="28"/>
        </w:rPr>
        <w:t xml:space="preserve"> основные средства</w:t>
      </w:r>
      <w:r w:rsidRPr="00AE65DA">
        <w:rPr>
          <w:b/>
          <w:bCs/>
          <w:i/>
          <w:iCs/>
          <w:szCs w:val="28"/>
        </w:rPr>
        <w:t xml:space="preserve">, </w:t>
      </w:r>
      <w:r>
        <w:rPr>
          <w:b/>
          <w:bCs/>
          <w:i/>
          <w:iCs/>
          <w:szCs w:val="28"/>
        </w:rPr>
        <w:t xml:space="preserve">а должно быть </w:t>
      </w:r>
      <w:r w:rsidRPr="00AE65DA">
        <w:rPr>
          <w:b/>
          <w:bCs/>
          <w:i/>
          <w:iCs/>
          <w:szCs w:val="28"/>
        </w:rPr>
        <w:t>опис</w:t>
      </w:r>
      <w:r>
        <w:rPr>
          <w:b/>
          <w:bCs/>
          <w:i/>
          <w:iCs/>
          <w:szCs w:val="28"/>
        </w:rPr>
        <w:t>ание</w:t>
      </w:r>
      <w:r w:rsidRPr="00AE65DA">
        <w:rPr>
          <w:b/>
          <w:bCs/>
          <w:i/>
          <w:iCs/>
          <w:szCs w:val="28"/>
        </w:rPr>
        <w:t xml:space="preserve"> «характеристик комплектности».</w:t>
      </w:r>
    </w:p>
    <w:p w14:paraId="4336FB90" w14:textId="77777777" w:rsidR="00440CDB" w:rsidRPr="00AE65DA" w:rsidRDefault="00440CDB" w:rsidP="00440CDB">
      <w:pPr>
        <w:autoSpaceDE w:val="0"/>
        <w:autoSpaceDN w:val="0"/>
        <w:adjustRightInd w:val="0"/>
        <w:ind w:firstLine="0"/>
        <w:rPr>
          <w:rFonts w:eastAsiaTheme="minorHAnsi"/>
          <w:b/>
          <w:bCs/>
          <w:i/>
          <w:iCs/>
          <w:szCs w:val="28"/>
        </w:rPr>
      </w:pPr>
      <w:r w:rsidRPr="00AE65DA">
        <w:rPr>
          <w:b/>
          <w:bCs/>
          <w:i/>
          <w:iCs/>
          <w:szCs w:val="28"/>
        </w:rPr>
        <w:t xml:space="preserve">В нарушении </w:t>
      </w:r>
      <w:hyperlink r:id="rId19" w:history="1">
        <w:r w:rsidRPr="00AE65DA">
          <w:rPr>
            <w:rFonts w:eastAsiaTheme="minorHAnsi"/>
            <w:b/>
            <w:bCs/>
            <w:i/>
            <w:iCs/>
            <w:szCs w:val="28"/>
          </w:rPr>
          <w:t>п. п. 152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, </w:t>
      </w:r>
      <w:hyperlink r:id="rId20" w:history="1">
        <w:r w:rsidRPr="00AE65DA">
          <w:rPr>
            <w:rFonts w:eastAsiaTheme="minorHAnsi"/>
            <w:b/>
            <w:bCs/>
            <w:i/>
            <w:iCs/>
            <w:szCs w:val="28"/>
          </w:rPr>
          <w:t>159.7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 Инструкции N 191н в</w:t>
      </w:r>
      <w:r w:rsidRPr="00AE65DA">
        <w:rPr>
          <w:b/>
          <w:bCs/>
          <w:i/>
          <w:iCs/>
          <w:szCs w:val="28"/>
        </w:rPr>
        <w:t xml:space="preserve"> Таблице № 14 прилагаемой к Пояснительной записке формы 0503160 в строке 060 столбец 3 «Показатель» вносятся числовые значения, а в столбце 4 «Пояснения» причина образования этих сумм.  </w:t>
      </w:r>
    </w:p>
    <w:p w14:paraId="01F947DD" w14:textId="2FCA9E0B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Перечень форм отчетности, не включенных в состав бюджетной отчетности за отчетный период ввиду отсутствия числовых значений показателей:</w:t>
      </w:r>
    </w:p>
    <w:p w14:paraId="0B1DD475" w14:textId="27FAC3C1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Отчет о бюджетных обязательствах по национальным проектам (ф. 0503128-НП)</w:t>
      </w:r>
      <w:r>
        <w:rPr>
          <w:rFonts w:eastAsia="Times New Roman"/>
          <w:szCs w:val="28"/>
          <w:lang w:eastAsia="ru-RU"/>
        </w:rPr>
        <w:t>;</w:t>
      </w:r>
    </w:p>
    <w:p w14:paraId="5A3488DF" w14:textId="40E58BC3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Сведения об исполнении мероприятий в рамках целевых программ</w:t>
      </w:r>
      <w:r>
        <w:rPr>
          <w:rFonts w:eastAsia="Times New Roman"/>
          <w:szCs w:val="28"/>
          <w:lang w:eastAsia="ru-RU"/>
        </w:rPr>
        <w:t xml:space="preserve"> (ф. 0503166);</w:t>
      </w:r>
    </w:p>
    <w:p w14:paraId="67BA55E0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целевых иностранных кредитах (ф. 0503167);</w:t>
      </w:r>
    </w:p>
    <w:p w14:paraId="727D5A99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14:paraId="4E0992D2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государственном (муниципальном) долге, предоставленных бюджетных кредитах (ф. 0503172);</w:t>
      </w:r>
    </w:p>
    <w:p w14:paraId="60526A37" w14:textId="4263AC14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lastRenderedPageBreak/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14:paraId="04CD5FC0" w14:textId="7C69782A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Сведения о принятых и неисполненных обязательствах получателя бюджетных средств (</w:t>
      </w:r>
      <w:r>
        <w:rPr>
          <w:rFonts w:eastAsia="Times New Roman"/>
          <w:szCs w:val="28"/>
          <w:lang w:eastAsia="ru-RU"/>
        </w:rPr>
        <w:t xml:space="preserve">ф. </w:t>
      </w:r>
      <w:r w:rsidRPr="008B3356">
        <w:rPr>
          <w:rFonts w:eastAsia="Times New Roman"/>
          <w:szCs w:val="28"/>
          <w:lang w:eastAsia="ru-RU"/>
        </w:rPr>
        <w:t>0503175)</w:t>
      </w:r>
    </w:p>
    <w:p w14:paraId="54C19759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Справка о суммах консолидируемых поступлений, подлежащих зачислению на счет бюджета (ф.0503184);</w:t>
      </w:r>
    </w:p>
    <w:p w14:paraId="21D8033B" w14:textId="64AC808A" w:rsidR="008B3356" w:rsidRDefault="008B3356" w:rsidP="008B3356">
      <w:pPr>
        <w:ind w:firstLine="0"/>
        <w:rPr>
          <w:rFonts w:eastAsia="Times New Roman"/>
          <w:szCs w:val="28"/>
          <w:lang w:eastAsia="ru-RU"/>
        </w:rPr>
      </w:pPr>
      <w:r w:rsidRPr="00F42915">
        <w:rPr>
          <w:rFonts w:eastAsia="Times New Roman"/>
          <w:szCs w:val="28"/>
          <w:lang w:eastAsia="ru-RU"/>
        </w:rPr>
        <w:t>Сведения о вложениях в объекты недвижимого имущества, об объектах незавершенного строительства (ф. 0503190)</w:t>
      </w:r>
      <w:r>
        <w:rPr>
          <w:rFonts w:eastAsia="Times New Roman"/>
          <w:szCs w:val="28"/>
          <w:lang w:eastAsia="ru-RU"/>
        </w:rPr>
        <w:t>;</w:t>
      </w:r>
    </w:p>
    <w:p w14:paraId="35D965E5" w14:textId="2D3564FE" w:rsidR="009867A4" w:rsidRDefault="008B3356" w:rsidP="009867A4">
      <w:pPr>
        <w:ind w:firstLine="0"/>
        <w:rPr>
          <w:rFonts w:eastAsia="Times New Roman"/>
          <w:szCs w:val="28"/>
          <w:lang w:eastAsia="ru-RU"/>
        </w:rPr>
      </w:pPr>
      <w:r w:rsidRPr="008B3356">
        <w:rPr>
          <w:rFonts w:eastAsia="Times New Roman"/>
          <w:szCs w:val="28"/>
          <w:lang w:eastAsia="ru-RU"/>
        </w:rPr>
        <w:t>Сведения об исполнении судебных решений по денежным обязательствам (</w:t>
      </w:r>
      <w:r>
        <w:rPr>
          <w:rFonts w:eastAsia="Times New Roman"/>
          <w:szCs w:val="28"/>
          <w:lang w:eastAsia="ru-RU"/>
        </w:rPr>
        <w:t xml:space="preserve">ф. </w:t>
      </w:r>
      <w:r w:rsidRPr="008B3356">
        <w:rPr>
          <w:rFonts w:eastAsia="Times New Roman"/>
          <w:szCs w:val="28"/>
          <w:lang w:eastAsia="ru-RU"/>
        </w:rPr>
        <w:t>0503296)</w:t>
      </w:r>
    </w:p>
    <w:p w14:paraId="74702742" w14:textId="77777777" w:rsidR="008B3356" w:rsidRPr="008B3356" w:rsidRDefault="008B3356" w:rsidP="009867A4">
      <w:pPr>
        <w:ind w:firstLine="0"/>
        <w:rPr>
          <w:rFonts w:eastAsia="Times New Roman"/>
          <w:szCs w:val="28"/>
          <w:lang w:eastAsia="ru-RU"/>
        </w:rPr>
      </w:pPr>
    </w:p>
    <w:p w14:paraId="486F95B0" w14:textId="616AF7B7" w:rsidR="00B756D9" w:rsidRPr="00FD4A28" w:rsidRDefault="00B756D9" w:rsidP="009867A4">
      <w:pPr>
        <w:ind w:firstLine="0"/>
        <w:rPr>
          <w:szCs w:val="28"/>
        </w:rPr>
      </w:pPr>
      <w:r w:rsidRPr="00FD4A28">
        <w:rPr>
          <w:rFonts w:eastAsia="Times New Roman"/>
          <w:b/>
          <w:szCs w:val="28"/>
          <w:lang w:eastAsia="ru-RU"/>
        </w:rPr>
        <w:t>Выводы:</w:t>
      </w:r>
    </w:p>
    <w:p w14:paraId="1200CB28" w14:textId="616E310F" w:rsidR="008B3356" w:rsidRPr="00C578B6" w:rsidRDefault="008B3356" w:rsidP="00C578B6">
      <w:pPr>
        <w:rPr>
          <w:rFonts w:eastAsia="Times New Roman"/>
          <w:bCs/>
          <w:szCs w:val="28"/>
        </w:rPr>
      </w:pPr>
      <w:r w:rsidRPr="00F42915">
        <w:rPr>
          <w:rFonts w:eastAsia="Times New Roman"/>
          <w:bCs/>
          <w:szCs w:val="28"/>
        </w:rPr>
        <w:t>Представленная к проверке годовая бюджетная отчетность</w:t>
      </w:r>
      <w:r w:rsidR="00C578B6" w:rsidRPr="00C578B6">
        <w:t xml:space="preserve"> </w:t>
      </w:r>
      <w:r w:rsidR="00C578B6" w:rsidRPr="00C578B6">
        <w:rPr>
          <w:rFonts w:eastAsia="Times New Roman"/>
          <w:bCs/>
          <w:szCs w:val="28"/>
        </w:rPr>
        <w:t>администрации Дубровского района</w:t>
      </w:r>
      <w:r w:rsidR="00C578B6">
        <w:rPr>
          <w:rFonts w:eastAsia="Times New Roman"/>
          <w:bCs/>
          <w:szCs w:val="28"/>
        </w:rPr>
        <w:t xml:space="preserve"> </w:t>
      </w:r>
      <w:r w:rsidR="00C578B6" w:rsidRPr="00C578B6">
        <w:rPr>
          <w:rFonts w:eastAsia="Times New Roman"/>
          <w:bCs/>
          <w:szCs w:val="28"/>
        </w:rPr>
        <w:t>(Дубровское городское поселение)</w:t>
      </w:r>
      <w:r w:rsidRPr="00F42915">
        <w:rPr>
          <w:rFonts w:eastAsia="Times New Roman"/>
          <w:bCs/>
          <w:szCs w:val="28"/>
        </w:rPr>
        <w:t xml:space="preserve"> за 2023 год</w:t>
      </w:r>
      <w:r w:rsidRPr="00F42915">
        <w:rPr>
          <w:szCs w:val="28"/>
        </w:rPr>
        <w:t xml:space="preserve"> не в полной мере соответствует</w:t>
      </w:r>
      <w:r w:rsidRPr="00F42915">
        <w:rPr>
          <w:rFonts w:eastAsia="Times New Roman"/>
          <w:bCs/>
          <w:szCs w:val="28"/>
        </w:rPr>
        <w:t xml:space="preserve"> </w:t>
      </w:r>
      <w:r w:rsidRPr="00F42915">
        <w:rPr>
          <w:szCs w:val="28"/>
        </w:rPr>
        <w:t>требованиям Бюджетного кодекса Российской Федерации,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191н.</w:t>
      </w:r>
    </w:p>
    <w:p w14:paraId="437E6FCF" w14:textId="77777777" w:rsidR="008B3356" w:rsidRPr="001F1A74" w:rsidRDefault="008B3356" w:rsidP="008B3356">
      <w:pPr>
        <w:autoSpaceDE w:val="0"/>
        <w:autoSpaceDN w:val="0"/>
        <w:adjustRightInd w:val="0"/>
        <w:ind w:firstLine="0"/>
        <w:outlineLvl w:val="0"/>
        <w:rPr>
          <w:b/>
          <w:bCs/>
          <w:i/>
          <w:iCs/>
          <w:szCs w:val="28"/>
        </w:rPr>
      </w:pPr>
      <w:r w:rsidRPr="001F1A74">
        <w:rPr>
          <w:b/>
          <w:bCs/>
          <w:i/>
          <w:iCs/>
          <w:szCs w:val="28"/>
        </w:rPr>
        <w:t>В нарушение п. 12 Инструкции №191н при заполнении баланса, в кодовой зоне заголовочной части баланса (ф.0503130) не указан код ОКВЭД по основному виду деятельности учреждения.</w:t>
      </w:r>
    </w:p>
    <w:p w14:paraId="24CAB074" w14:textId="77777777" w:rsidR="00C578B6" w:rsidRPr="00AE65DA" w:rsidRDefault="00C578B6" w:rsidP="00C578B6">
      <w:pPr>
        <w:autoSpaceDE w:val="0"/>
        <w:autoSpaceDN w:val="0"/>
        <w:adjustRightInd w:val="0"/>
        <w:ind w:firstLine="0"/>
        <w:rPr>
          <w:rFonts w:eastAsiaTheme="minorHAnsi"/>
          <w:b/>
          <w:bCs/>
          <w:i/>
          <w:iCs/>
          <w:szCs w:val="28"/>
        </w:rPr>
      </w:pPr>
      <w:r w:rsidRPr="00AE65DA">
        <w:rPr>
          <w:b/>
          <w:bCs/>
          <w:i/>
          <w:iCs/>
          <w:szCs w:val="28"/>
        </w:rPr>
        <w:t xml:space="preserve">В нарушении </w:t>
      </w:r>
      <w:hyperlink r:id="rId21" w:history="1">
        <w:r w:rsidRPr="00AE65DA">
          <w:rPr>
            <w:rFonts w:eastAsiaTheme="minorHAnsi"/>
            <w:b/>
            <w:bCs/>
            <w:i/>
            <w:iCs/>
            <w:szCs w:val="28"/>
          </w:rPr>
          <w:t>п. п. 152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, </w:t>
      </w:r>
      <w:hyperlink r:id="rId22" w:history="1">
        <w:r w:rsidRPr="00AE65DA">
          <w:rPr>
            <w:rFonts w:eastAsiaTheme="minorHAnsi"/>
            <w:b/>
            <w:bCs/>
            <w:i/>
            <w:iCs/>
            <w:szCs w:val="28"/>
          </w:rPr>
          <w:t>159.5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 Инструкции N 191н в</w:t>
      </w:r>
      <w:r w:rsidRPr="00AE65DA">
        <w:rPr>
          <w:b/>
          <w:bCs/>
          <w:i/>
          <w:iCs/>
          <w:szCs w:val="28"/>
        </w:rPr>
        <w:t xml:space="preserve"> Таблице № 12 прилагаемой к Пояснительной записке формы 0503160 </w:t>
      </w:r>
      <w:r>
        <w:rPr>
          <w:b/>
          <w:bCs/>
          <w:i/>
          <w:iCs/>
          <w:szCs w:val="28"/>
        </w:rPr>
        <w:t>не заполнены строки 010,011,012</w:t>
      </w:r>
      <w:r w:rsidRPr="00AE65DA">
        <w:rPr>
          <w:b/>
          <w:bCs/>
          <w:i/>
          <w:iCs/>
          <w:szCs w:val="28"/>
        </w:rPr>
        <w:t xml:space="preserve">. В строке 021 не описаны меры необходимые для поддержания ОС в соответствующем техническом состоянии. В строке 022 </w:t>
      </w:r>
      <w:r>
        <w:rPr>
          <w:b/>
          <w:bCs/>
          <w:i/>
          <w:iCs/>
          <w:szCs w:val="28"/>
        </w:rPr>
        <w:t xml:space="preserve">указана </w:t>
      </w:r>
      <w:r w:rsidRPr="00AE65DA">
        <w:rPr>
          <w:b/>
          <w:bCs/>
          <w:i/>
          <w:iCs/>
          <w:szCs w:val="28"/>
        </w:rPr>
        <w:t>информация</w:t>
      </w:r>
      <w:r>
        <w:rPr>
          <w:b/>
          <w:bCs/>
          <w:i/>
          <w:iCs/>
          <w:szCs w:val="28"/>
        </w:rPr>
        <w:t xml:space="preserve"> стоимости</w:t>
      </w:r>
      <w:r w:rsidRPr="00440CDB">
        <w:t xml:space="preserve"> </w:t>
      </w:r>
      <w:r w:rsidRPr="00440CDB">
        <w:rPr>
          <w:b/>
          <w:bCs/>
          <w:i/>
          <w:iCs/>
          <w:szCs w:val="28"/>
        </w:rPr>
        <w:t>Основны</w:t>
      </w:r>
      <w:r>
        <w:rPr>
          <w:b/>
          <w:bCs/>
          <w:i/>
          <w:iCs/>
          <w:szCs w:val="28"/>
        </w:rPr>
        <w:t>х</w:t>
      </w:r>
      <w:r w:rsidRPr="00440CDB">
        <w:rPr>
          <w:b/>
          <w:bCs/>
          <w:i/>
          <w:iCs/>
          <w:szCs w:val="28"/>
        </w:rPr>
        <w:t xml:space="preserve"> фонд</w:t>
      </w:r>
      <w:r>
        <w:rPr>
          <w:b/>
          <w:bCs/>
          <w:i/>
          <w:iCs/>
          <w:szCs w:val="28"/>
        </w:rPr>
        <w:t>ов</w:t>
      </w:r>
      <w:r w:rsidRPr="00440CDB">
        <w:rPr>
          <w:b/>
          <w:bCs/>
          <w:i/>
          <w:iCs/>
          <w:szCs w:val="28"/>
        </w:rPr>
        <w:t xml:space="preserve"> учреждения, составляю</w:t>
      </w:r>
      <w:r>
        <w:rPr>
          <w:b/>
          <w:bCs/>
          <w:i/>
          <w:iCs/>
          <w:szCs w:val="28"/>
        </w:rPr>
        <w:t>щих</w:t>
      </w:r>
      <w:r w:rsidRPr="00440CDB">
        <w:rPr>
          <w:b/>
          <w:bCs/>
          <w:i/>
          <w:iCs/>
          <w:szCs w:val="28"/>
        </w:rPr>
        <w:t xml:space="preserve"> основные средства</w:t>
      </w:r>
      <w:r w:rsidRPr="00AE65DA">
        <w:rPr>
          <w:b/>
          <w:bCs/>
          <w:i/>
          <w:iCs/>
          <w:szCs w:val="28"/>
        </w:rPr>
        <w:t xml:space="preserve">, </w:t>
      </w:r>
      <w:r>
        <w:rPr>
          <w:b/>
          <w:bCs/>
          <w:i/>
          <w:iCs/>
          <w:szCs w:val="28"/>
        </w:rPr>
        <w:t xml:space="preserve">а должно быть </w:t>
      </w:r>
      <w:r w:rsidRPr="00AE65DA">
        <w:rPr>
          <w:b/>
          <w:bCs/>
          <w:i/>
          <w:iCs/>
          <w:szCs w:val="28"/>
        </w:rPr>
        <w:t>опис</w:t>
      </w:r>
      <w:r>
        <w:rPr>
          <w:b/>
          <w:bCs/>
          <w:i/>
          <w:iCs/>
          <w:szCs w:val="28"/>
        </w:rPr>
        <w:t>ание</w:t>
      </w:r>
      <w:r w:rsidRPr="00AE65DA">
        <w:rPr>
          <w:b/>
          <w:bCs/>
          <w:i/>
          <w:iCs/>
          <w:szCs w:val="28"/>
        </w:rPr>
        <w:t xml:space="preserve"> «характеристик комплектности».</w:t>
      </w:r>
    </w:p>
    <w:p w14:paraId="0EE02577" w14:textId="77777777" w:rsidR="00C578B6" w:rsidRPr="00AE65DA" w:rsidRDefault="00C578B6" w:rsidP="00C578B6">
      <w:pPr>
        <w:autoSpaceDE w:val="0"/>
        <w:autoSpaceDN w:val="0"/>
        <w:adjustRightInd w:val="0"/>
        <w:ind w:firstLine="0"/>
        <w:rPr>
          <w:rFonts w:eastAsiaTheme="minorHAnsi"/>
          <w:b/>
          <w:bCs/>
          <w:i/>
          <w:iCs/>
          <w:szCs w:val="28"/>
        </w:rPr>
      </w:pPr>
      <w:r w:rsidRPr="00AE65DA">
        <w:rPr>
          <w:b/>
          <w:bCs/>
          <w:i/>
          <w:iCs/>
          <w:szCs w:val="28"/>
        </w:rPr>
        <w:t xml:space="preserve">В нарушении </w:t>
      </w:r>
      <w:hyperlink r:id="rId23" w:history="1">
        <w:r w:rsidRPr="00AE65DA">
          <w:rPr>
            <w:rFonts w:eastAsiaTheme="minorHAnsi"/>
            <w:b/>
            <w:bCs/>
            <w:i/>
            <w:iCs/>
            <w:szCs w:val="28"/>
          </w:rPr>
          <w:t>п. п. 152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, </w:t>
      </w:r>
      <w:hyperlink r:id="rId24" w:history="1">
        <w:r w:rsidRPr="00AE65DA">
          <w:rPr>
            <w:rFonts w:eastAsiaTheme="minorHAnsi"/>
            <w:b/>
            <w:bCs/>
            <w:i/>
            <w:iCs/>
            <w:szCs w:val="28"/>
          </w:rPr>
          <w:t>159.7</w:t>
        </w:r>
      </w:hyperlink>
      <w:r w:rsidRPr="00AE65DA">
        <w:rPr>
          <w:rFonts w:eastAsiaTheme="minorHAnsi"/>
          <w:b/>
          <w:bCs/>
          <w:i/>
          <w:iCs/>
          <w:szCs w:val="28"/>
        </w:rPr>
        <w:t xml:space="preserve"> Инструкции N 191н в</w:t>
      </w:r>
      <w:r w:rsidRPr="00AE65DA">
        <w:rPr>
          <w:b/>
          <w:bCs/>
          <w:i/>
          <w:iCs/>
          <w:szCs w:val="28"/>
        </w:rPr>
        <w:t xml:space="preserve"> Таблице № 14 прилагаемой к Пояснительной записке формы 0503160 в строке 060 столбец 3 «Показатель» вносятся числовые значения, а в столбце 4 «Пояснения» причина образования этих сумм.  </w:t>
      </w:r>
    </w:p>
    <w:p w14:paraId="77CFFD64" w14:textId="77777777" w:rsidR="008B3356" w:rsidRPr="00F42915" w:rsidRDefault="008B3356" w:rsidP="008B3356">
      <w:pPr>
        <w:autoSpaceDE w:val="0"/>
        <w:autoSpaceDN w:val="0"/>
        <w:adjustRightInd w:val="0"/>
        <w:ind w:firstLine="0"/>
        <w:outlineLvl w:val="0"/>
        <w:rPr>
          <w:szCs w:val="28"/>
        </w:rPr>
      </w:pPr>
    </w:p>
    <w:p w14:paraId="0138E96E" w14:textId="77777777" w:rsidR="008B3356" w:rsidRPr="00F42915" w:rsidRDefault="008B3356" w:rsidP="008B3356">
      <w:pPr>
        <w:spacing w:before="120"/>
        <w:ind w:firstLine="0"/>
        <w:rPr>
          <w:rFonts w:eastAsia="Times New Roman"/>
          <w:b/>
          <w:szCs w:val="28"/>
          <w:lang w:eastAsia="ru-RU"/>
        </w:rPr>
      </w:pPr>
      <w:r w:rsidRPr="00F42915">
        <w:rPr>
          <w:rFonts w:eastAsia="Times New Roman"/>
          <w:b/>
          <w:szCs w:val="28"/>
          <w:lang w:eastAsia="ru-RU"/>
        </w:rPr>
        <w:t>Предложения:</w:t>
      </w:r>
    </w:p>
    <w:p w14:paraId="7F5FDD6D" w14:textId="24C494DE" w:rsidR="008B3356" w:rsidRPr="00F42915" w:rsidRDefault="008B3356" w:rsidP="00C578B6">
      <w:pPr>
        <w:ind w:firstLine="0"/>
        <w:rPr>
          <w:szCs w:val="28"/>
        </w:rPr>
      </w:pPr>
      <w:r>
        <w:rPr>
          <w:szCs w:val="28"/>
        </w:rPr>
        <w:t xml:space="preserve">           </w:t>
      </w:r>
      <w:r w:rsidRPr="00F42915">
        <w:rPr>
          <w:szCs w:val="28"/>
        </w:rPr>
        <w:t xml:space="preserve">Направить заключение по результатам внешней проверки бюджетной отчетности главного администратора бюджетных средств </w:t>
      </w:r>
      <w:r w:rsidR="00C578B6" w:rsidRPr="00C578B6">
        <w:rPr>
          <w:szCs w:val="28"/>
        </w:rPr>
        <w:t>администрации Дубровского района</w:t>
      </w:r>
      <w:r w:rsidR="00C578B6">
        <w:rPr>
          <w:szCs w:val="28"/>
        </w:rPr>
        <w:t xml:space="preserve"> </w:t>
      </w:r>
      <w:r w:rsidR="00C578B6" w:rsidRPr="00C578B6">
        <w:rPr>
          <w:szCs w:val="28"/>
        </w:rPr>
        <w:t>(</w:t>
      </w:r>
      <w:bookmarkStart w:id="8" w:name="_Hlk164159872"/>
      <w:r w:rsidR="00C578B6" w:rsidRPr="00C578B6">
        <w:rPr>
          <w:szCs w:val="28"/>
        </w:rPr>
        <w:t>Дубровское городское поселение</w:t>
      </w:r>
      <w:bookmarkEnd w:id="8"/>
      <w:r w:rsidR="00C578B6" w:rsidRPr="00C578B6">
        <w:rPr>
          <w:szCs w:val="28"/>
        </w:rPr>
        <w:t>)</w:t>
      </w:r>
      <w:r w:rsidRPr="00F42915">
        <w:rPr>
          <w:szCs w:val="28"/>
        </w:rPr>
        <w:t xml:space="preserve"> за 2023 год главе </w:t>
      </w:r>
      <w:r w:rsidR="00C578B6" w:rsidRPr="00C578B6">
        <w:rPr>
          <w:szCs w:val="28"/>
        </w:rPr>
        <w:t>Дубровско</w:t>
      </w:r>
      <w:r w:rsidR="00C578B6">
        <w:rPr>
          <w:szCs w:val="28"/>
        </w:rPr>
        <w:t>го</w:t>
      </w:r>
      <w:r w:rsidR="00C578B6" w:rsidRPr="00C578B6">
        <w:rPr>
          <w:szCs w:val="28"/>
        </w:rPr>
        <w:t xml:space="preserve"> городско</w:t>
      </w:r>
      <w:r w:rsidR="00C578B6">
        <w:rPr>
          <w:szCs w:val="28"/>
        </w:rPr>
        <w:t>го</w:t>
      </w:r>
      <w:r w:rsidR="00C578B6" w:rsidRPr="00C578B6">
        <w:rPr>
          <w:szCs w:val="28"/>
        </w:rPr>
        <w:t xml:space="preserve"> поселени</w:t>
      </w:r>
      <w:r w:rsidR="00C578B6">
        <w:rPr>
          <w:szCs w:val="28"/>
        </w:rPr>
        <w:t>я</w:t>
      </w:r>
      <w:r w:rsidRPr="00F42915">
        <w:rPr>
          <w:szCs w:val="28"/>
        </w:rPr>
        <w:t>.</w:t>
      </w:r>
    </w:p>
    <w:p w14:paraId="1BBE8ED8" w14:textId="5E29D41C" w:rsidR="008B3356" w:rsidRPr="00F42915" w:rsidRDefault="00C578B6" w:rsidP="008B3356">
      <w:pPr>
        <w:ind w:firstLine="0"/>
        <w:rPr>
          <w:szCs w:val="28"/>
        </w:rPr>
      </w:pPr>
      <w:r>
        <w:rPr>
          <w:szCs w:val="28"/>
        </w:rPr>
        <w:t xml:space="preserve">           </w:t>
      </w:r>
      <w:r w:rsidR="008B3356" w:rsidRPr="00F42915">
        <w:rPr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Бюджетного кодекса Российской Федерации, Инструкции о порядке составления и представления годовой, квартальной и месячной отчетности об исполнении бюджетов </w:t>
      </w:r>
      <w:r w:rsidR="008B3356" w:rsidRPr="00F42915">
        <w:rPr>
          <w:szCs w:val="28"/>
        </w:rPr>
        <w:lastRenderedPageBreak/>
        <w:t>бюджетной системы Российской Федерации, утвержденной приказом Министерства финансов РФ от 28.12.2010 № 191н.</w:t>
      </w:r>
    </w:p>
    <w:p w14:paraId="787AB73A" w14:textId="4F6CBEF1" w:rsidR="008B3356" w:rsidRPr="00F42915" w:rsidRDefault="00C578B6" w:rsidP="008B3356">
      <w:pPr>
        <w:ind w:firstLine="0"/>
        <w:rPr>
          <w:rFonts w:eastAsia="Times New Roman"/>
          <w:szCs w:val="28"/>
          <w:lang w:eastAsia="ru-RU"/>
        </w:rPr>
      </w:pPr>
      <w:bookmarkStart w:id="9" w:name="_Hlk130454478"/>
      <w:bookmarkStart w:id="10" w:name="_Hlk130454701"/>
      <w:r>
        <w:rPr>
          <w:rFonts w:eastAsia="Times New Roman"/>
          <w:szCs w:val="28"/>
          <w:lang w:eastAsia="ru-RU"/>
        </w:rPr>
        <w:t xml:space="preserve">             </w:t>
      </w:r>
      <w:r w:rsidR="008B3356" w:rsidRPr="00F42915">
        <w:rPr>
          <w:rFonts w:eastAsia="Times New Roman"/>
          <w:szCs w:val="28"/>
          <w:lang w:eastAsia="ru-RU"/>
        </w:rPr>
        <w:t>Не допускать отвлечения бюджетных средств на уплату штрафных</w:t>
      </w:r>
      <w:r w:rsidR="008B3356" w:rsidRPr="00F42915">
        <w:rPr>
          <w:szCs w:val="28"/>
        </w:rPr>
        <w:t xml:space="preserve"> санкций </w:t>
      </w:r>
      <w:bookmarkEnd w:id="9"/>
      <w:bookmarkEnd w:id="10"/>
    </w:p>
    <w:p w14:paraId="16D42635" w14:textId="77777777" w:rsidR="008B3356" w:rsidRPr="00F42915" w:rsidRDefault="008B3356" w:rsidP="008B3356">
      <w:pPr>
        <w:ind w:firstLine="0"/>
        <w:rPr>
          <w:rFonts w:eastAsia="Times New Roman"/>
          <w:szCs w:val="28"/>
          <w:lang w:eastAsia="ru-RU"/>
        </w:rPr>
      </w:pPr>
    </w:p>
    <w:p w14:paraId="63977A0A" w14:textId="3B3E0710" w:rsidR="009867A4" w:rsidRDefault="009867A4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55A1CCC0" w14:textId="3B38B6B8" w:rsidR="00C578B6" w:rsidRDefault="00C578B6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09C689F0" w14:textId="20A66E8B" w:rsidR="00C578B6" w:rsidRDefault="00C578B6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2BEB805F" w14:textId="04A886FF" w:rsidR="00C578B6" w:rsidRDefault="00C578B6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504F86E1" w14:textId="77777777" w:rsidR="00C578B6" w:rsidRPr="008207B2" w:rsidRDefault="00C578B6" w:rsidP="008207B2">
      <w:pPr>
        <w:ind w:firstLine="0"/>
        <w:rPr>
          <w:rFonts w:eastAsia="Times New Roman"/>
          <w:sz w:val="26"/>
          <w:szCs w:val="26"/>
          <w:lang w:eastAsia="ru-RU"/>
        </w:rPr>
      </w:pPr>
    </w:p>
    <w:p w14:paraId="64B029BA" w14:textId="0A3017B0" w:rsidR="00B756D9" w:rsidRPr="00C578B6" w:rsidRDefault="008207B2" w:rsidP="007D18FD">
      <w:pPr>
        <w:ind w:firstLine="0"/>
        <w:rPr>
          <w:rFonts w:eastAsia="Times New Roman"/>
          <w:szCs w:val="28"/>
          <w:lang w:eastAsia="ru-RU"/>
        </w:rPr>
      </w:pPr>
      <w:r w:rsidRPr="00C578B6">
        <w:rPr>
          <w:rFonts w:eastAsia="Times New Roman"/>
          <w:szCs w:val="28"/>
          <w:lang w:eastAsia="ru-RU"/>
        </w:rPr>
        <w:t>П</w:t>
      </w:r>
      <w:r w:rsidR="00B756D9" w:rsidRPr="00C578B6">
        <w:rPr>
          <w:rFonts w:eastAsia="Times New Roman"/>
          <w:szCs w:val="28"/>
          <w:lang w:eastAsia="ru-RU"/>
        </w:rPr>
        <w:t>редседател</w:t>
      </w:r>
      <w:r w:rsidRPr="00C578B6">
        <w:rPr>
          <w:rFonts w:eastAsia="Times New Roman"/>
          <w:szCs w:val="28"/>
          <w:lang w:eastAsia="ru-RU"/>
        </w:rPr>
        <w:t>ь</w:t>
      </w:r>
      <w:r w:rsidR="009867A4" w:rsidRPr="00C578B6">
        <w:rPr>
          <w:rFonts w:eastAsia="Times New Roman"/>
          <w:szCs w:val="28"/>
          <w:lang w:eastAsia="ru-RU"/>
        </w:rPr>
        <w:t xml:space="preserve"> </w:t>
      </w:r>
      <w:r w:rsidR="00B756D9" w:rsidRPr="00C578B6">
        <w:rPr>
          <w:rFonts w:eastAsia="Times New Roman"/>
          <w:szCs w:val="28"/>
          <w:lang w:eastAsia="ru-RU"/>
        </w:rPr>
        <w:t>Контрольно-счётной палаты</w:t>
      </w:r>
    </w:p>
    <w:p w14:paraId="0C0EE8FB" w14:textId="4EA56C71" w:rsidR="00FC2352" w:rsidRPr="00C578B6" w:rsidRDefault="00B756D9" w:rsidP="008207B2">
      <w:pPr>
        <w:ind w:firstLine="0"/>
        <w:rPr>
          <w:rFonts w:eastAsia="Times New Roman"/>
          <w:szCs w:val="28"/>
          <w:lang w:eastAsia="ru-RU"/>
        </w:rPr>
      </w:pPr>
      <w:r w:rsidRPr="00C578B6">
        <w:rPr>
          <w:rFonts w:eastAsia="Times New Roman"/>
          <w:szCs w:val="28"/>
          <w:lang w:eastAsia="ru-RU"/>
        </w:rPr>
        <w:t xml:space="preserve">Дубровского района                                                             </w:t>
      </w:r>
      <w:r w:rsidR="009867A4" w:rsidRPr="00C578B6">
        <w:rPr>
          <w:rFonts w:eastAsia="Times New Roman"/>
          <w:szCs w:val="28"/>
          <w:lang w:eastAsia="ru-RU"/>
        </w:rPr>
        <w:t xml:space="preserve">          </w:t>
      </w:r>
      <w:r w:rsidR="008207B2" w:rsidRPr="00C578B6">
        <w:rPr>
          <w:rFonts w:eastAsia="Times New Roman"/>
          <w:szCs w:val="28"/>
          <w:lang w:eastAsia="ru-RU"/>
        </w:rPr>
        <w:t>О.В. Ромаки</w:t>
      </w:r>
      <w:r w:rsidR="00B60748" w:rsidRPr="00C578B6">
        <w:rPr>
          <w:rFonts w:eastAsia="Times New Roman"/>
          <w:szCs w:val="28"/>
          <w:lang w:eastAsia="ru-RU"/>
        </w:rPr>
        <w:t>на</w:t>
      </w:r>
    </w:p>
    <w:sectPr w:rsidR="00FC2352" w:rsidRPr="00C578B6" w:rsidSect="00BA6B79">
      <w:headerReference w:type="default" r:id="rId2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E23A3" w14:textId="77777777" w:rsidR="00896B5A" w:rsidRDefault="00896B5A" w:rsidP="00BA6B79">
      <w:r>
        <w:separator/>
      </w:r>
    </w:p>
  </w:endnote>
  <w:endnote w:type="continuationSeparator" w:id="0">
    <w:p w14:paraId="37C7FABC" w14:textId="77777777" w:rsidR="00896B5A" w:rsidRDefault="00896B5A" w:rsidP="00BA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DB012" w14:textId="77777777" w:rsidR="00896B5A" w:rsidRDefault="00896B5A" w:rsidP="00BA6B79">
      <w:r>
        <w:separator/>
      </w:r>
    </w:p>
  </w:footnote>
  <w:footnote w:type="continuationSeparator" w:id="0">
    <w:p w14:paraId="22F89893" w14:textId="77777777" w:rsidR="00896B5A" w:rsidRDefault="00896B5A" w:rsidP="00BA6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51526"/>
      <w:docPartObj>
        <w:docPartGallery w:val="Page Numbers (Top of Page)"/>
        <w:docPartUnique/>
      </w:docPartObj>
    </w:sdtPr>
    <w:sdtEndPr/>
    <w:sdtContent>
      <w:p w14:paraId="46D7344F" w14:textId="77777777" w:rsidR="00094A5D" w:rsidRDefault="009D6C8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2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8FE8FF8" w14:textId="77777777" w:rsidR="00094A5D" w:rsidRDefault="00094A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A0C63"/>
    <w:multiLevelType w:val="hybridMultilevel"/>
    <w:tmpl w:val="72A6B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56D9"/>
    <w:rsid w:val="00003E32"/>
    <w:rsid w:val="000052B1"/>
    <w:rsid w:val="0000598C"/>
    <w:rsid w:val="00010841"/>
    <w:rsid w:val="0001743E"/>
    <w:rsid w:val="000454C3"/>
    <w:rsid w:val="00054801"/>
    <w:rsid w:val="00055480"/>
    <w:rsid w:val="000556FF"/>
    <w:rsid w:val="000629F7"/>
    <w:rsid w:val="000671D4"/>
    <w:rsid w:val="00070341"/>
    <w:rsid w:val="000762F6"/>
    <w:rsid w:val="00077341"/>
    <w:rsid w:val="00084706"/>
    <w:rsid w:val="00085812"/>
    <w:rsid w:val="000920EF"/>
    <w:rsid w:val="00093EAD"/>
    <w:rsid w:val="00094A5D"/>
    <w:rsid w:val="000A686F"/>
    <w:rsid w:val="000B06BC"/>
    <w:rsid w:val="000E776E"/>
    <w:rsid w:val="001023E2"/>
    <w:rsid w:val="00106581"/>
    <w:rsid w:val="00116DEF"/>
    <w:rsid w:val="0011715D"/>
    <w:rsid w:val="0011746E"/>
    <w:rsid w:val="00125B24"/>
    <w:rsid w:val="00130826"/>
    <w:rsid w:val="00130CAF"/>
    <w:rsid w:val="00146BB8"/>
    <w:rsid w:val="001616F1"/>
    <w:rsid w:val="0016287E"/>
    <w:rsid w:val="00172A10"/>
    <w:rsid w:val="00177050"/>
    <w:rsid w:val="001813A5"/>
    <w:rsid w:val="001B35B0"/>
    <w:rsid w:val="001D1A47"/>
    <w:rsid w:val="001D32D9"/>
    <w:rsid w:val="001E7F8A"/>
    <w:rsid w:val="00204AA2"/>
    <w:rsid w:val="0021015B"/>
    <w:rsid w:val="00212E45"/>
    <w:rsid w:val="00225222"/>
    <w:rsid w:val="00230C26"/>
    <w:rsid w:val="00236FFC"/>
    <w:rsid w:val="00252BE6"/>
    <w:rsid w:val="00265040"/>
    <w:rsid w:val="00276F53"/>
    <w:rsid w:val="002A0F0C"/>
    <w:rsid w:val="002B6AC7"/>
    <w:rsid w:val="002D0038"/>
    <w:rsid w:val="002D0711"/>
    <w:rsid w:val="002D1CFF"/>
    <w:rsid w:val="002D221D"/>
    <w:rsid w:val="002E4007"/>
    <w:rsid w:val="0030164A"/>
    <w:rsid w:val="00303DF6"/>
    <w:rsid w:val="003145BF"/>
    <w:rsid w:val="003251DD"/>
    <w:rsid w:val="003650E1"/>
    <w:rsid w:val="003657D5"/>
    <w:rsid w:val="003714E2"/>
    <w:rsid w:val="00395C15"/>
    <w:rsid w:val="003D01FF"/>
    <w:rsid w:val="003E2D4C"/>
    <w:rsid w:val="003E70C4"/>
    <w:rsid w:val="0041028F"/>
    <w:rsid w:val="00410EDF"/>
    <w:rsid w:val="00413A9B"/>
    <w:rsid w:val="00414946"/>
    <w:rsid w:val="004350D5"/>
    <w:rsid w:val="00440CDB"/>
    <w:rsid w:val="00466B64"/>
    <w:rsid w:val="00473848"/>
    <w:rsid w:val="00483D34"/>
    <w:rsid w:val="00485A9C"/>
    <w:rsid w:val="0049380E"/>
    <w:rsid w:val="004A7C6C"/>
    <w:rsid w:val="004B3FC3"/>
    <w:rsid w:val="004D1E35"/>
    <w:rsid w:val="004D4259"/>
    <w:rsid w:val="004E2598"/>
    <w:rsid w:val="004E418C"/>
    <w:rsid w:val="004F770D"/>
    <w:rsid w:val="0051628A"/>
    <w:rsid w:val="005227C3"/>
    <w:rsid w:val="00525A03"/>
    <w:rsid w:val="00540338"/>
    <w:rsid w:val="00551A46"/>
    <w:rsid w:val="00553C8D"/>
    <w:rsid w:val="00562B3B"/>
    <w:rsid w:val="005736AF"/>
    <w:rsid w:val="00573F52"/>
    <w:rsid w:val="005749F4"/>
    <w:rsid w:val="00585DF9"/>
    <w:rsid w:val="00585E13"/>
    <w:rsid w:val="0059360D"/>
    <w:rsid w:val="00593E0F"/>
    <w:rsid w:val="00596308"/>
    <w:rsid w:val="005B7B12"/>
    <w:rsid w:val="005E1FE7"/>
    <w:rsid w:val="005F14D6"/>
    <w:rsid w:val="00605855"/>
    <w:rsid w:val="00615F8F"/>
    <w:rsid w:val="0061765B"/>
    <w:rsid w:val="0063395C"/>
    <w:rsid w:val="00635BC0"/>
    <w:rsid w:val="006439E2"/>
    <w:rsid w:val="006527FF"/>
    <w:rsid w:val="0065405A"/>
    <w:rsid w:val="006649B3"/>
    <w:rsid w:val="00666C5A"/>
    <w:rsid w:val="00680950"/>
    <w:rsid w:val="00686BBA"/>
    <w:rsid w:val="00694E65"/>
    <w:rsid w:val="006C19D5"/>
    <w:rsid w:val="006C636D"/>
    <w:rsid w:val="006D13A1"/>
    <w:rsid w:val="006D5D51"/>
    <w:rsid w:val="006E0158"/>
    <w:rsid w:val="006E4DF9"/>
    <w:rsid w:val="006E6515"/>
    <w:rsid w:val="006F1624"/>
    <w:rsid w:val="00700EB8"/>
    <w:rsid w:val="0070155E"/>
    <w:rsid w:val="00710457"/>
    <w:rsid w:val="00715481"/>
    <w:rsid w:val="00717ECC"/>
    <w:rsid w:val="00734A8C"/>
    <w:rsid w:val="00746DFB"/>
    <w:rsid w:val="00754CE0"/>
    <w:rsid w:val="00755F32"/>
    <w:rsid w:val="0075670A"/>
    <w:rsid w:val="00761CFC"/>
    <w:rsid w:val="00765C28"/>
    <w:rsid w:val="007670AB"/>
    <w:rsid w:val="007710C6"/>
    <w:rsid w:val="007777DC"/>
    <w:rsid w:val="00777ED1"/>
    <w:rsid w:val="007D18FD"/>
    <w:rsid w:val="007D2EF3"/>
    <w:rsid w:val="007D31BA"/>
    <w:rsid w:val="007D35A0"/>
    <w:rsid w:val="007F2C08"/>
    <w:rsid w:val="008207B2"/>
    <w:rsid w:val="008227D9"/>
    <w:rsid w:val="00824C87"/>
    <w:rsid w:val="008250D8"/>
    <w:rsid w:val="00831A99"/>
    <w:rsid w:val="00837B9A"/>
    <w:rsid w:val="00865516"/>
    <w:rsid w:val="00865813"/>
    <w:rsid w:val="0089476D"/>
    <w:rsid w:val="00896B5A"/>
    <w:rsid w:val="008A60E5"/>
    <w:rsid w:val="008B3356"/>
    <w:rsid w:val="008D7659"/>
    <w:rsid w:val="008E1633"/>
    <w:rsid w:val="008E738A"/>
    <w:rsid w:val="008F2A8F"/>
    <w:rsid w:val="00923154"/>
    <w:rsid w:val="00932F44"/>
    <w:rsid w:val="00941420"/>
    <w:rsid w:val="00946CEA"/>
    <w:rsid w:val="00954E76"/>
    <w:rsid w:val="00956F12"/>
    <w:rsid w:val="00962B4C"/>
    <w:rsid w:val="009728DD"/>
    <w:rsid w:val="00972DC2"/>
    <w:rsid w:val="00981B5A"/>
    <w:rsid w:val="009867A4"/>
    <w:rsid w:val="00990BC3"/>
    <w:rsid w:val="009B2561"/>
    <w:rsid w:val="009B268F"/>
    <w:rsid w:val="009B6156"/>
    <w:rsid w:val="009C6EAC"/>
    <w:rsid w:val="009D3678"/>
    <w:rsid w:val="009D6C8F"/>
    <w:rsid w:val="009E3376"/>
    <w:rsid w:val="009E6B39"/>
    <w:rsid w:val="00A20707"/>
    <w:rsid w:val="00A22990"/>
    <w:rsid w:val="00A4016B"/>
    <w:rsid w:val="00A67D43"/>
    <w:rsid w:val="00A70A9D"/>
    <w:rsid w:val="00A83927"/>
    <w:rsid w:val="00A8485C"/>
    <w:rsid w:val="00AA44DC"/>
    <w:rsid w:val="00AD0386"/>
    <w:rsid w:val="00AD3C98"/>
    <w:rsid w:val="00AE1414"/>
    <w:rsid w:val="00B03750"/>
    <w:rsid w:val="00B04B31"/>
    <w:rsid w:val="00B14D93"/>
    <w:rsid w:val="00B2462B"/>
    <w:rsid w:val="00B3320A"/>
    <w:rsid w:val="00B374DA"/>
    <w:rsid w:val="00B56299"/>
    <w:rsid w:val="00B60748"/>
    <w:rsid w:val="00B71365"/>
    <w:rsid w:val="00B756D9"/>
    <w:rsid w:val="00B865A8"/>
    <w:rsid w:val="00B95936"/>
    <w:rsid w:val="00B96F89"/>
    <w:rsid w:val="00BA182E"/>
    <w:rsid w:val="00BA6B79"/>
    <w:rsid w:val="00BB1DD5"/>
    <w:rsid w:val="00BD40DB"/>
    <w:rsid w:val="00BE0D32"/>
    <w:rsid w:val="00BE78B1"/>
    <w:rsid w:val="00BF2061"/>
    <w:rsid w:val="00C154D2"/>
    <w:rsid w:val="00C1550D"/>
    <w:rsid w:val="00C1617C"/>
    <w:rsid w:val="00C16CDC"/>
    <w:rsid w:val="00C270EE"/>
    <w:rsid w:val="00C27AD9"/>
    <w:rsid w:val="00C30B9A"/>
    <w:rsid w:val="00C54EDF"/>
    <w:rsid w:val="00C578B6"/>
    <w:rsid w:val="00C57BC8"/>
    <w:rsid w:val="00C72D51"/>
    <w:rsid w:val="00C84382"/>
    <w:rsid w:val="00C93907"/>
    <w:rsid w:val="00C97065"/>
    <w:rsid w:val="00CA57E8"/>
    <w:rsid w:val="00CA61FE"/>
    <w:rsid w:val="00CB635A"/>
    <w:rsid w:val="00CC13FE"/>
    <w:rsid w:val="00CE3B9F"/>
    <w:rsid w:val="00D03117"/>
    <w:rsid w:val="00D034F3"/>
    <w:rsid w:val="00D05084"/>
    <w:rsid w:val="00D21EB5"/>
    <w:rsid w:val="00D24313"/>
    <w:rsid w:val="00D2755E"/>
    <w:rsid w:val="00D43F71"/>
    <w:rsid w:val="00D613A8"/>
    <w:rsid w:val="00D65F3C"/>
    <w:rsid w:val="00D96D4F"/>
    <w:rsid w:val="00DB45A7"/>
    <w:rsid w:val="00DC33B9"/>
    <w:rsid w:val="00DC6754"/>
    <w:rsid w:val="00DD0D57"/>
    <w:rsid w:val="00DE0E28"/>
    <w:rsid w:val="00DE785B"/>
    <w:rsid w:val="00DF1C20"/>
    <w:rsid w:val="00E12063"/>
    <w:rsid w:val="00E13444"/>
    <w:rsid w:val="00E14069"/>
    <w:rsid w:val="00E2508C"/>
    <w:rsid w:val="00E31B81"/>
    <w:rsid w:val="00E32E16"/>
    <w:rsid w:val="00E378F3"/>
    <w:rsid w:val="00E51971"/>
    <w:rsid w:val="00E65C62"/>
    <w:rsid w:val="00E70435"/>
    <w:rsid w:val="00EE13B9"/>
    <w:rsid w:val="00EE71A2"/>
    <w:rsid w:val="00EF38B2"/>
    <w:rsid w:val="00EF3D9B"/>
    <w:rsid w:val="00EF5D9F"/>
    <w:rsid w:val="00EF6B61"/>
    <w:rsid w:val="00EF6FCD"/>
    <w:rsid w:val="00F06637"/>
    <w:rsid w:val="00F13655"/>
    <w:rsid w:val="00F242F6"/>
    <w:rsid w:val="00F34A23"/>
    <w:rsid w:val="00F34C52"/>
    <w:rsid w:val="00F41D7E"/>
    <w:rsid w:val="00F420B1"/>
    <w:rsid w:val="00F53EC6"/>
    <w:rsid w:val="00F57BB5"/>
    <w:rsid w:val="00F62BDF"/>
    <w:rsid w:val="00F6474D"/>
    <w:rsid w:val="00F64A2F"/>
    <w:rsid w:val="00F7247C"/>
    <w:rsid w:val="00F74E53"/>
    <w:rsid w:val="00F9445F"/>
    <w:rsid w:val="00F979F0"/>
    <w:rsid w:val="00FB6D95"/>
    <w:rsid w:val="00FC2352"/>
    <w:rsid w:val="00FD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BC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6D9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B756D9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756D9"/>
  </w:style>
  <w:style w:type="paragraph" w:customStyle="1" w:styleId="ConsPlusNonformat">
    <w:name w:val="ConsPlusNonformat"/>
    <w:rsid w:val="00B75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A6B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6B79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BA6B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6B79"/>
    <w:rPr>
      <w:rFonts w:ascii="Times New Roman" w:eastAsia="Calibri" w:hAnsi="Times New Roman" w:cs="Times New Roman"/>
      <w:sz w:val="28"/>
    </w:rPr>
  </w:style>
  <w:style w:type="paragraph" w:styleId="a8">
    <w:name w:val="List Paragraph"/>
    <w:basedOn w:val="a"/>
    <w:uiPriority w:val="34"/>
    <w:qFormat/>
    <w:rsid w:val="00AE141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67434&amp;dst=100493" TargetMode="External"/><Relationship Id="rId18" Type="http://schemas.openxmlformats.org/officeDocument/2006/relationships/hyperlink" Target="https://login.consultant.ru/link/?req=doc&amp;base=RZB&amp;n=467434&amp;dst=26002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67434&amp;dst=25922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4AFA0BED4AE605F5861FCEE1DEBD46F112B35DC8CEADF08DE05C9B34CF598C772BB9B129DD51B715F4411A58E9R6H" TargetMode="External"/><Relationship Id="rId17" Type="http://schemas.openxmlformats.org/officeDocument/2006/relationships/hyperlink" Target="https://login.consultant.ru/link/?req=doc&amp;base=RZB&amp;n=467434&amp;dst=25922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67434&amp;dst=72" TargetMode="External"/><Relationship Id="rId20" Type="http://schemas.openxmlformats.org/officeDocument/2006/relationships/hyperlink" Target="https://login.consultant.ru/link/?req=doc&amp;base=RZB&amp;n=467434&amp;dst=26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4AFA0BED4AE605F5861FCEE1DEBD46F113B65CC1CDADF08DE05C9B34CF598C652BE1BB2EDF4DBC45BB074F5795948067393B6842F6E3REH" TargetMode="External"/><Relationship Id="rId24" Type="http://schemas.openxmlformats.org/officeDocument/2006/relationships/hyperlink" Target="https://login.consultant.ru/link/?req=doc&amp;base=RZB&amp;n=467434&amp;dst=26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67434&amp;dst=100540" TargetMode="External"/><Relationship Id="rId23" Type="http://schemas.openxmlformats.org/officeDocument/2006/relationships/hyperlink" Target="https://login.consultant.ru/link/?req=doc&amp;base=RZB&amp;n=467434&amp;dst=25950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login.consultant.ru/link/?req=doc&amp;base=RZB&amp;n=467434&amp;dst=2595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ZB&amp;n=467434&amp;dst=100537" TargetMode="External"/><Relationship Id="rId22" Type="http://schemas.openxmlformats.org/officeDocument/2006/relationships/hyperlink" Target="https://login.consultant.ru/link/?req=doc&amp;base=RZB&amp;n=467434&amp;dst=260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8221E-607B-459C-B141-8E7B0C78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2659</Words>
  <Characters>15161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2023-04-11T14:05:00Z</cp:lastPrinted>
  <dcterms:created xsi:type="dcterms:W3CDTF">2024-04-16T08:53:00Z</dcterms:created>
  <dcterms:modified xsi:type="dcterms:W3CDTF">2024-04-16T08:53:00Z</dcterms:modified>
</cp:coreProperties>
</file>