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01EF"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Серьезную опасность для природной среды, экономики и населения района представляют </w:t>
      </w:r>
      <w:r w:rsidRPr="00BB6B44">
        <w:rPr>
          <w:rFonts w:ascii="Roboto" w:eastAsia="Times New Roman" w:hAnsi="Roboto" w:cs="Times New Roman"/>
          <w:b/>
          <w:bCs/>
          <w:color w:val="484C51"/>
          <w:kern w:val="0"/>
          <w:sz w:val="16"/>
          <w:szCs w:val="16"/>
          <w:lang w:eastAsia="ru-RU"/>
          <w14:ligatures w14:val="none"/>
        </w:rPr>
        <w:t>лесные и торфяные пожары</w:t>
      </w:r>
      <w:r w:rsidRPr="00BB6B44">
        <w:rPr>
          <w:rFonts w:ascii="Roboto" w:eastAsia="Times New Roman" w:hAnsi="Roboto" w:cs="Times New Roman"/>
          <w:color w:val="484C51"/>
          <w:kern w:val="0"/>
          <w:sz w:val="16"/>
          <w:szCs w:val="16"/>
          <w:lang w:eastAsia="ru-RU"/>
          <w14:ligatures w14:val="none"/>
        </w:rPr>
        <w:t xml:space="preserve">. ГКУ Брянской области «Дубровское лесничество» расположено в </w:t>
      </w:r>
      <w:proofErr w:type="spellStart"/>
      <w:r w:rsidRPr="00BB6B44">
        <w:rPr>
          <w:rFonts w:ascii="Roboto" w:eastAsia="Times New Roman" w:hAnsi="Roboto" w:cs="Times New Roman"/>
          <w:color w:val="484C51"/>
          <w:kern w:val="0"/>
          <w:sz w:val="16"/>
          <w:szCs w:val="16"/>
          <w:lang w:eastAsia="ru-RU"/>
          <w14:ligatures w14:val="none"/>
        </w:rPr>
        <w:t>северо</w:t>
      </w:r>
      <w:proofErr w:type="spellEnd"/>
      <w:r w:rsidRPr="00BB6B44">
        <w:rPr>
          <w:rFonts w:ascii="Roboto" w:eastAsia="Times New Roman" w:hAnsi="Roboto" w:cs="Times New Roman"/>
          <w:color w:val="484C51"/>
          <w:kern w:val="0"/>
          <w:sz w:val="16"/>
          <w:szCs w:val="16"/>
          <w:lang w:eastAsia="ru-RU"/>
          <w14:ligatures w14:val="none"/>
        </w:rPr>
        <w:t xml:space="preserve"> – западной части Брянской области на территории Дубровского Жуковского и Рогнединского административных районов. Общая площадь лесничества – 51774 га. Лесные земли занимают 92,5 % от общей площади лесничества. Значительную часть лесного фонда лесничества составляют мягколиственные насаждения – 43 %. По классам пожарной опасности леса ГКУ Брянской области «Дубровское лесничество» распределяются следующим образом: 1класс – 662 га (1 %), 2 класс – 4356 га (9 %), 3 класс – 15790 га (30 %), 4 класс – 30446 га (59 %), 5 класс – 560 га (1 %). Средний природный класс пожарной опасности составляет 2,7.</w:t>
      </w:r>
    </w:p>
    <w:p w14:paraId="562E1453"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Степень опасности возникновения и распространения пожаров в лесу определяется: по лесорастительным условиям лесных участков, по условиям погоды. Средние статистические сроки пожароопасного сезона составляют 203 календарных дня, начало пожароопасного сезона в районе наблюдается с 20 марта и окончание 10 октября.  </w:t>
      </w:r>
    </w:p>
    <w:p w14:paraId="40CEA093"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Исходя из среднемесячной температуры воздуха и количества осадков в пожароопасном сезоне 2018 года на территории района возможно ожидать в основном, 2-3 класс пожарной опасности, в отдельные дни - 4-5 класс. Количество очагов лесных пожаров и их площадь прогнозируется на уровне средних многолетних значений (около 5 очагов, площадью до 25 га).</w:t>
      </w:r>
    </w:p>
    <w:p w14:paraId="51F2FADF"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Продолжительность пожароопасного сезона в лесах и на торфяниках области обуславливается умеренно-континентальными природными условиями и составляет в среднем 160 дней (свыше 5 месяцев).</w:t>
      </w:r>
    </w:p>
    <w:p w14:paraId="718F242F"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b/>
          <w:bCs/>
          <w:i/>
          <w:iCs/>
          <w:color w:val="484C51"/>
          <w:kern w:val="0"/>
          <w:sz w:val="16"/>
          <w:szCs w:val="16"/>
          <w:lang w:eastAsia="ru-RU"/>
          <w14:ligatures w14:val="none"/>
        </w:rPr>
        <w:t>         Наибольшее количество пожаров прогнозируется в период:</w:t>
      </w:r>
    </w:p>
    <w:p w14:paraId="1B6C23DA"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xml:space="preserve">-         конец апреля, первая половина мая: связано с проведением неконтролируемых </w:t>
      </w:r>
      <w:proofErr w:type="spellStart"/>
      <w:r w:rsidRPr="00BB6B44">
        <w:rPr>
          <w:rFonts w:ascii="Roboto" w:eastAsia="Times New Roman" w:hAnsi="Roboto" w:cs="Times New Roman"/>
          <w:color w:val="484C51"/>
          <w:kern w:val="0"/>
          <w:sz w:val="16"/>
          <w:szCs w:val="16"/>
          <w:lang w:eastAsia="ru-RU"/>
          <w14:ligatures w14:val="none"/>
        </w:rPr>
        <w:t>сельхозпалов</w:t>
      </w:r>
      <w:proofErr w:type="spellEnd"/>
      <w:r w:rsidRPr="00BB6B44">
        <w:rPr>
          <w:rFonts w:ascii="Roboto" w:eastAsia="Times New Roman" w:hAnsi="Roboto" w:cs="Times New Roman"/>
          <w:color w:val="484C51"/>
          <w:kern w:val="0"/>
          <w:sz w:val="16"/>
          <w:szCs w:val="16"/>
          <w:lang w:eastAsia="ru-RU"/>
          <w14:ligatures w14:val="none"/>
        </w:rPr>
        <w:t>;</w:t>
      </w:r>
    </w:p>
    <w:p w14:paraId="1EA81094"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третья декада июня, первая декада июля: начало интенсивного посещения лесов населением в связи со сбором ягод;</w:t>
      </w:r>
    </w:p>
    <w:p w14:paraId="3090C1F4"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август-сентябрь: посещение лесов населением в связи с началом грибного сезона.</w:t>
      </w:r>
    </w:p>
    <w:p w14:paraId="3C6D6C5B" w14:textId="77777777" w:rsidR="00BB6B44" w:rsidRPr="00BB6B44" w:rsidRDefault="00BB6B44" w:rsidP="00BB6B44">
      <w:pPr>
        <w:shd w:val="clear" w:color="auto" w:fill="FFFFFF"/>
        <w:spacing w:before="100" w:beforeAutospacing="1" w:after="100" w:afterAutospacing="1" w:line="240" w:lineRule="auto"/>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xml:space="preserve">На территории Дубровского района Брянской области торфопредприятия отсутствуют, торфоразработок не ведётся. Имеются расположения торфяников (болота, поймы рек), их площадь составляет 140 га. Данные торфяники не представляют угрозы населённым пунктам Брянской области, так как ограничиваются реками, переход огня на лесной массив </w:t>
      </w:r>
      <w:proofErr w:type="gramStart"/>
      <w:r w:rsidRPr="00BB6B44">
        <w:rPr>
          <w:rFonts w:ascii="Roboto" w:eastAsia="Times New Roman" w:hAnsi="Roboto" w:cs="Times New Roman"/>
          <w:color w:val="484C51"/>
          <w:kern w:val="0"/>
          <w:sz w:val="16"/>
          <w:szCs w:val="16"/>
          <w:lang w:eastAsia="ru-RU"/>
          <w14:ligatures w14:val="none"/>
        </w:rPr>
        <w:t>не возможен</w:t>
      </w:r>
      <w:proofErr w:type="gramEnd"/>
      <w:r w:rsidRPr="00BB6B44">
        <w:rPr>
          <w:rFonts w:ascii="Roboto" w:eastAsia="Times New Roman" w:hAnsi="Roboto" w:cs="Times New Roman"/>
          <w:color w:val="484C51"/>
          <w:kern w:val="0"/>
          <w:sz w:val="16"/>
          <w:szCs w:val="16"/>
          <w:lang w:eastAsia="ru-RU"/>
          <w14:ligatures w14:val="none"/>
        </w:rPr>
        <w:t xml:space="preserve"> из-за удалённости мест расположения от леса. В необходимых местах в 2010 году выполнены мероприятия по обустройству обводных каналов и заполнению их водой. В настоящее время организован их мониторинг.</w:t>
      </w:r>
    </w:p>
    <w:p w14:paraId="4CE2BA2C" w14:textId="77777777" w:rsidR="00BB6B44" w:rsidRPr="00BB6B44" w:rsidRDefault="00BB6B44" w:rsidP="00BB6B44">
      <w:pPr>
        <w:shd w:val="clear" w:color="auto" w:fill="FFFFFF"/>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w:t>
      </w:r>
      <w:r w:rsidRPr="00BB6B44">
        <w:rPr>
          <w:rFonts w:ascii="Roboto" w:eastAsia="Times New Roman" w:hAnsi="Roboto" w:cs="Times New Roman"/>
          <w:b/>
          <w:bCs/>
          <w:color w:val="484C51"/>
          <w:kern w:val="0"/>
          <w:sz w:val="16"/>
          <w:szCs w:val="16"/>
          <w:lang w:eastAsia="ru-RU"/>
          <w14:ligatures w14:val="none"/>
        </w:rPr>
        <w:t>Сведения</w:t>
      </w:r>
    </w:p>
    <w:p w14:paraId="310CFF07" w14:textId="77777777" w:rsidR="00BB6B44" w:rsidRPr="00BB6B44" w:rsidRDefault="00BB6B44" w:rsidP="00BB6B44">
      <w:pPr>
        <w:shd w:val="clear" w:color="auto" w:fill="FFFFFF"/>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b/>
          <w:bCs/>
          <w:color w:val="484C51"/>
          <w:kern w:val="0"/>
          <w:sz w:val="16"/>
          <w:szCs w:val="16"/>
          <w:lang w:eastAsia="ru-RU"/>
          <w14:ligatures w14:val="none"/>
        </w:rPr>
        <w:t>о наличии торфяников на территории Дубровского муниципального района</w:t>
      </w:r>
    </w:p>
    <w:tbl>
      <w:tblPr>
        <w:tblW w:w="175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9"/>
        <w:gridCol w:w="1825"/>
        <w:gridCol w:w="1534"/>
        <w:gridCol w:w="584"/>
        <w:gridCol w:w="1497"/>
        <w:gridCol w:w="1588"/>
        <w:gridCol w:w="2015"/>
        <w:gridCol w:w="440"/>
        <w:gridCol w:w="1876"/>
        <w:gridCol w:w="1618"/>
        <w:gridCol w:w="1674"/>
        <w:gridCol w:w="1591"/>
        <w:gridCol w:w="885"/>
      </w:tblGrid>
      <w:tr w:rsidR="00BB6B44" w:rsidRPr="00BB6B44" w14:paraId="692294D7" w14:textId="77777777" w:rsidTr="00BB6B44">
        <w:trPr>
          <w:gridAfter w:val="1"/>
          <w:wAfter w:w="20" w:type="dxa"/>
        </w:trPr>
        <w:tc>
          <w:tcPr>
            <w:tcW w:w="43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A08F9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p w14:paraId="5CB1DB8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п\п</w:t>
            </w:r>
          </w:p>
          <w:p w14:paraId="2E4019BF"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п/п</w:t>
            </w:r>
          </w:p>
        </w:tc>
        <w:tc>
          <w:tcPr>
            <w:tcW w:w="19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287B57"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Наименование городского (сельского) поселения</w:t>
            </w:r>
          </w:p>
        </w:tc>
        <w:tc>
          <w:tcPr>
            <w:tcW w:w="161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10B955"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Общая площадь торфяников, км</w:t>
            </w:r>
            <w:r w:rsidRPr="00BB6B44">
              <w:rPr>
                <w:rFonts w:ascii="Roboto" w:eastAsia="Times New Roman" w:hAnsi="Roboto" w:cs="Times New Roman"/>
                <w:color w:val="484C51"/>
                <w:kern w:val="0"/>
                <w:sz w:val="16"/>
                <w:szCs w:val="16"/>
                <w:vertAlign w:val="superscript"/>
                <w:lang w:eastAsia="ru-RU"/>
                <w14:ligatures w14:val="none"/>
              </w:rPr>
              <w:t>2</w:t>
            </w:r>
          </w:p>
        </w:tc>
        <w:tc>
          <w:tcPr>
            <w:tcW w:w="11879"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64A2CE1D"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Ведомственная принадлежность торфяников, в том числе</w:t>
            </w:r>
          </w:p>
        </w:tc>
        <w:tc>
          <w:tcPr>
            <w:tcW w:w="1674" w:type="dxa"/>
            <w:tcBorders>
              <w:top w:val="outset" w:sz="6" w:space="0" w:color="auto"/>
              <w:left w:val="outset" w:sz="6" w:space="0" w:color="auto"/>
              <w:bottom w:val="outset" w:sz="6" w:space="0" w:color="auto"/>
              <w:right w:val="outset" w:sz="6" w:space="0" w:color="auto"/>
            </w:tcBorders>
            <w:shd w:val="clear" w:color="auto" w:fill="FFFFFF"/>
            <w:hideMark/>
          </w:tcPr>
          <w:p w14:paraId="54CA1F60"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Площадь обводнения</w:t>
            </w:r>
          </w:p>
        </w:tc>
      </w:tr>
      <w:tr w:rsidR="00BB6B44" w:rsidRPr="00BB6B44" w14:paraId="1E02DFFB" w14:textId="77777777" w:rsidTr="00BB6B4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B4FCAE" w14:textId="77777777" w:rsidR="00BB6B44" w:rsidRPr="00BB6B44" w:rsidRDefault="00BB6B44" w:rsidP="00BB6B44">
            <w:pPr>
              <w:spacing w:after="0" w:line="240" w:lineRule="auto"/>
              <w:rPr>
                <w:rFonts w:ascii="Roboto" w:eastAsia="Times New Roman" w:hAnsi="Roboto" w:cs="Times New Roman"/>
                <w:color w:val="484C51"/>
                <w:kern w:val="0"/>
                <w:sz w:val="16"/>
                <w:szCs w:val="16"/>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4E93BA" w14:textId="77777777" w:rsidR="00BB6B44" w:rsidRPr="00BB6B44" w:rsidRDefault="00BB6B44" w:rsidP="00BB6B44">
            <w:pPr>
              <w:spacing w:after="0" w:line="240" w:lineRule="auto"/>
              <w:rPr>
                <w:rFonts w:ascii="Roboto" w:eastAsia="Times New Roman" w:hAnsi="Roboto" w:cs="Times New Roman"/>
                <w:color w:val="484C51"/>
                <w:kern w:val="0"/>
                <w:sz w:val="16"/>
                <w:szCs w:val="16"/>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860B6E" w14:textId="77777777" w:rsidR="00BB6B44" w:rsidRPr="00BB6B44" w:rsidRDefault="00BB6B44" w:rsidP="00BB6B44">
            <w:pPr>
              <w:spacing w:after="0" w:line="240" w:lineRule="auto"/>
              <w:rPr>
                <w:rFonts w:ascii="Roboto" w:eastAsia="Times New Roman" w:hAnsi="Roboto" w:cs="Times New Roman"/>
                <w:color w:val="484C51"/>
                <w:kern w:val="0"/>
                <w:sz w:val="16"/>
                <w:szCs w:val="16"/>
                <w:lang w:eastAsia="ru-RU"/>
                <w14:ligatures w14:val="none"/>
              </w:rPr>
            </w:pPr>
          </w:p>
        </w:tc>
        <w:tc>
          <w:tcPr>
            <w:tcW w:w="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1520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МПР</w:t>
            </w:r>
          </w:p>
          <w:p w14:paraId="7C64B2ED"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12CE0"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Минсельхоз</w:t>
            </w:r>
          </w:p>
          <w:p w14:paraId="7F93741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c>
          <w:tcPr>
            <w:tcW w:w="1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D9E46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proofErr w:type="spellStart"/>
            <w:r w:rsidRPr="00BB6B44">
              <w:rPr>
                <w:rFonts w:ascii="Roboto" w:eastAsia="Times New Roman" w:hAnsi="Roboto" w:cs="Times New Roman"/>
                <w:color w:val="484C51"/>
                <w:kern w:val="0"/>
                <w:sz w:val="16"/>
                <w:szCs w:val="16"/>
                <w:lang w:eastAsia="ru-RU"/>
                <w14:ligatures w14:val="none"/>
              </w:rPr>
              <w:t>Госземзапас</w:t>
            </w:r>
            <w:proofErr w:type="spellEnd"/>
          </w:p>
          <w:p w14:paraId="001C576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c>
          <w:tcPr>
            <w:tcW w:w="2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1DA4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Муниципальные образования</w:t>
            </w:r>
          </w:p>
          <w:p w14:paraId="11303AD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c>
          <w:tcPr>
            <w:tcW w:w="4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E89A0"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МО РФ</w:t>
            </w:r>
          </w:p>
          <w:p w14:paraId="1A027D1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85BD83"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Находящиеся в частной собственности,</w:t>
            </w:r>
          </w:p>
          <w:p w14:paraId="61C4397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DE1D4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Другие организации,</w:t>
            </w:r>
          </w:p>
          <w:p w14:paraId="47169884"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c>
          <w:tcPr>
            <w:tcW w:w="17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E5EAB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Бесхозяйные,</w:t>
            </w:r>
          </w:p>
          <w:p w14:paraId="376AB531"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p w14:paraId="13B5E78E"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 </w:t>
            </w:r>
          </w:p>
        </w:tc>
        <w:tc>
          <w:tcPr>
            <w:tcW w:w="16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0E264"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Планируется к обводнению, км</w:t>
            </w:r>
            <w:r w:rsidRPr="00BB6B44">
              <w:rPr>
                <w:rFonts w:ascii="Roboto" w:eastAsia="Times New Roman" w:hAnsi="Roboto" w:cs="Times New Roman"/>
                <w:color w:val="484C51"/>
                <w:kern w:val="0"/>
                <w:sz w:val="16"/>
                <w:szCs w:val="16"/>
                <w:vertAlign w:val="superscript"/>
                <w:lang w:eastAsia="ru-RU"/>
                <w14:ligatures w14:val="none"/>
              </w:rPr>
              <w:t>2</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9EBD3"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Обводнено,</w:t>
            </w:r>
          </w:p>
          <w:p w14:paraId="2358BACC"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км</w:t>
            </w:r>
            <w:r w:rsidRPr="00BB6B44">
              <w:rPr>
                <w:rFonts w:ascii="Roboto" w:eastAsia="Times New Roman" w:hAnsi="Roboto" w:cs="Times New Roman"/>
                <w:color w:val="484C51"/>
                <w:kern w:val="0"/>
                <w:sz w:val="16"/>
                <w:szCs w:val="16"/>
                <w:vertAlign w:val="superscript"/>
                <w:lang w:eastAsia="ru-RU"/>
                <w14:ligatures w14:val="none"/>
              </w:rPr>
              <w:t>2</w:t>
            </w:r>
          </w:p>
        </w:tc>
      </w:tr>
      <w:tr w:rsidR="00BB6B44" w:rsidRPr="00BB6B44" w14:paraId="516AC9FB" w14:textId="77777777" w:rsidTr="00BB6B44">
        <w:tc>
          <w:tcPr>
            <w:tcW w:w="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5758AD"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1.</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1E36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proofErr w:type="spellStart"/>
            <w:r w:rsidRPr="00BB6B44">
              <w:rPr>
                <w:rFonts w:ascii="Roboto" w:eastAsia="Times New Roman" w:hAnsi="Roboto" w:cs="Times New Roman"/>
                <w:i/>
                <w:iCs/>
                <w:color w:val="484C51"/>
                <w:kern w:val="0"/>
                <w:sz w:val="16"/>
                <w:szCs w:val="16"/>
                <w:lang w:eastAsia="ru-RU"/>
                <w14:ligatures w14:val="none"/>
              </w:rPr>
              <w:t>Рековичское</w:t>
            </w:r>
            <w:proofErr w:type="spellEnd"/>
            <w:r w:rsidRPr="00BB6B44">
              <w:rPr>
                <w:rFonts w:ascii="Roboto" w:eastAsia="Times New Roman" w:hAnsi="Roboto" w:cs="Times New Roman"/>
                <w:i/>
                <w:iCs/>
                <w:color w:val="484C51"/>
                <w:kern w:val="0"/>
                <w:sz w:val="16"/>
                <w:szCs w:val="16"/>
                <w:lang w:eastAsia="ru-RU"/>
                <w14:ligatures w14:val="none"/>
              </w:rPr>
              <w:t xml:space="preserve"> сельское поселение </w:t>
            </w:r>
            <w:proofErr w:type="spellStart"/>
            <w:r w:rsidRPr="00BB6B44">
              <w:rPr>
                <w:rFonts w:ascii="Roboto" w:eastAsia="Times New Roman" w:hAnsi="Roboto" w:cs="Times New Roman"/>
                <w:i/>
                <w:iCs/>
                <w:color w:val="484C51"/>
                <w:kern w:val="0"/>
                <w:sz w:val="16"/>
                <w:szCs w:val="16"/>
                <w:lang w:eastAsia="ru-RU"/>
                <w14:ligatures w14:val="none"/>
              </w:rPr>
              <w:t>д.Вязовск</w:t>
            </w:r>
            <w:proofErr w:type="spellEnd"/>
          </w:p>
        </w:tc>
        <w:tc>
          <w:tcPr>
            <w:tcW w:w="1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DB850"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0,5</w:t>
            </w:r>
          </w:p>
        </w:tc>
        <w:tc>
          <w:tcPr>
            <w:tcW w:w="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84C35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7624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2577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2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32856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0.5</w:t>
            </w:r>
          </w:p>
        </w:tc>
        <w:tc>
          <w:tcPr>
            <w:tcW w:w="4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4FFC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5986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4DE8C"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7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0A51A4"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6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ABD92"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75E55"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0,4</w:t>
            </w:r>
          </w:p>
        </w:tc>
      </w:tr>
      <w:tr w:rsidR="00BB6B44" w:rsidRPr="00BB6B44" w14:paraId="0ECDCBA3" w14:textId="77777777" w:rsidTr="00BB6B44">
        <w:tc>
          <w:tcPr>
            <w:tcW w:w="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379A1"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lastRenderedPageBreak/>
              <w:t>2</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DC7FE"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proofErr w:type="spellStart"/>
            <w:r w:rsidRPr="00BB6B44">
              <w:rPr>
                <w:rFonts w:ascii="Roboto" w:eastAsia="Times New Roman" w:hAnsi="Roboto" w:cs="Times New Roman"/>
                <w:i/>
                <w:iCs/>
                <w:color w:val="484C51"/>
                <w:kern w:val="0"/>
                <w:sz w:val="16"/>
                <w:szCs w:val="16"/>
                <w:lang w:eastAsia="ru-RU"/>
                <w14:ligatures w14:val="none"/>
              </w:rPr>
              <w:t>Сещинское</w:t>
            </w:r>
            <w:proofErr w:type="spellEnd"/>
            <w:r w:rsidRPr="00BB6B44">
              <w:rPr>
                <w:rFonts w:ascii="Roboto" w:eastAsia="Times New Roman" w:hAnsi="Roboto" w:cs="Times New Roman"/>
                <w:i/>
                <w:iCs/>
                <w:color w:val="484C51"/>
                <w:kern w:val="0"/>
                <w:sz w:val="16"/>
                <w:szCs w:val="16"/>
                <w:lang w:eastAsia="ru-RU"/>
                <w14:ligatures w14:val="none"/>
              </w:rPr>
              <w:t xml:space="preserve"> сельское </w:t>
            </w:r>
            <w:proofErr w:type="spellStart"/>
            <w:proofErr w:type="gramStart"/>
            <w:r w:rsidRPr="00BB6B44">
              <w:rPr>
                <w:rFonts w:ascii="Roboto" w:eastAsia="Times New Roman" w:hAnsi="Roboto" w:cs="Times New Roman"/>
                <w:i/>
                <w:iCs/>
                <w:color w:val="484C51"/>
                <w:kern w:val="0"/>
                <w:sz w:val="16"/>
                <w:szCs w:val="16"/>
                <w:lang w:eastAsia="ru-RU"/>
                <w14:ligatures w14:val="none"/>
              </w:rPr>
              <w:t>поселение,д</w:t>
            </w:r>
            <w:proofErr w:type="spellEnd"/>
            <w:r w:rsidRPr="00BB6B44">
              <w:rPr>
                <w:rFonts w:ascii="Roboto" w:eastAsia="Times New Roman" w:hAnsi="Roboto" w:cs="Times New Roman"/>
                <w:i/>
                <w:iCs/>
                <w:color w:val="484C51"/>
                <w:kern w:val="0"/>
                <w:sz w:val="16"/>
                <w:szCs w:val="16"/>
                <w:lang w:eastAsia="ru-RU"/>
                <w14:ligatures w14:val="none"/>
              </w:rPr>
              <w:t>.</w:t>
            </w:r>
            <w:proofErr w:type="gramEnd"/>
            <w:r w:rsidRPr="00BB6B44">
              <w:rPr>
                <w:rFonts w:ascii="Roboto" w:eastAsia="Times New Roman" w:hAnsi="Roboto" w:cs="Times New Roman"/>
                <w:i/>
                <w:iCs/>
                <w:color w:val="484C51"/>
                <w:kern w:val="0"/>
                <w:sz w:val="16"/>
                <w:szCs w:val="16"/>
                <w:lang w:eastAsia="ru-RU"/>
                <w14:ligatures w14:val="none"/>
              </w:rPr>
              <w:t xml:space="preserve"> Старое </w:t>
            </w:r>
            <w:proofErr w:type="spellStart"/>
            <w:r w:rsidRPr="00BB6B44">
              <w:rPr>
                <w:rFonts w:ascii="Roboto" w:eastAsia="Times New Roman" w:hAnsi="Roboto" w:cs="Times New Roman"/>
                <w:i/>
                <w:iCs/>
                <w:color w:val="484C51"/>
                <w:kern w:val="0"/>
                <w:sz w:val="16"/>
                <w:szCs w:val="16"/>
                <w:lang w:eastAsia="ru-RU"/>
                <w14:ligatures w14:val="none"/>
              </w:rPr>
              <w:t>Колышкино</w:t>
            </w:r>
            <w:proofErr w:type="spellEnd"/>
          </w:p>
        </w:tc>
        <w:tc>
          <w:tcPr>
            <w:tcW w:w="1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E1F15"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0,5</w:t>
            </w:r>
          </w:p>
        </w:tc>
        <w:tc>
          <w:tcPr>
            <w:tcW w:w="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B513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880DC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5D18E"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2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4FFE4"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0.5</w:t>
            </w:r>
          </w:p>
        </w:tc>
        <w:tc>
          <w:tcPr>
            <w:tcW w:w="4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9965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A1AA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4DE47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7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29AF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6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4011F5"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DB321"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0,45</w:t>
            </w:r>
          </w:p>
        </w:tc>
      </w:tr>
      <w:tr w:rsidR="00BB6B44" w:rsidRPr="00BB6B44" w14:paraId="464C188A" w14:textId="77777777" w:rsidTr="00BB6B44">
        <w:tc>
          <w:tcPr>
            <w:tcW w:w="4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9ED1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3</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9E3D2"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proofErr w:type="spellStart"/>
            <w:r w:rsidRPr="00BB6B44">
              <w:rPr>
                <w:rFonts w:ascii="Roboto" w:eastAsia="Times New Roman" w:hAnsi="Roboto" w:cs="Times New Roman"/>
                <w:i/>
                <w:iCs/>
                <w:color w:val="484C51"/>
                <w:kern w:val="0"/>
                <w:sz w:val="16"/>
                <w:szCs w:val="16"/>
                <w:lang w:eastAsia="ru-RU"/>
                <w14:ligatures w14:val="none"/>
              </w:rPr>
              <w:t>Сещинское</w:t>
            </w:r>
            <w:proofErr w:type="spellEnd"/>
            <w:r w:rsidRPr="00BB6B44">
              <w:rPr>
                <w:rFonts w:ascii="Roboto" w:eastAsia="Times New Roman" w:hAnsi="Roboto" w:cs="Times New Roman"/>
                <w:i/>
                <w:iCs/>
                <w:color w:val="484C51"/>
                <w:kern w:val="0"/>
                <w:sz w:val="16"/>
                <w:szCs w:val="16"/>
                <w:lang w:eastAsia="ru-RU"/>
                <w14:ligatures w14:val="none"/>
              </w:rPr>
              <w:t xml:space="preserve"> сельское поселение д. </w:t>
            </w:r>
            <w:proofErr w:type="spellStart"/>
            <w:r w:rsidRPr="00BB6B44">
              <w:rPr>
                <w:rFonts w:ascii="Roboto" w:eastAsia="Times New Roman" w:hAnsi="Roboto" w:cs="Times New Roman"/>
                <w:i/>
                <w:iCs/>
                <w:color w:val="484C51"/>
                <w:kern w:val="0"/>
                <w:sz w:val="16"/>
                <w:szCs w:val="16"/>
                <w:lang w:eastAsia="ru-RU"/>
                <w14:ligatures w14:val="none"/>
              </w:rPr>
              <w:t>Чепиничи</w:t>
            </w:r>
            <w:proofErr w:type="spellEnd"/>
          </w:p>
        </w:tc>
        <w:tc>
          <w:tcPr>
            <w:tcW w:w="1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5E646"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0,4</w:t>
            </w:r>
          </w:p>
        </w:tc>
        <w:tc>
          <w:tcPr>
            <w:tcW w:w="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FF65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ABC41"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4D01F"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2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10C2E"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0.4</w:t>
            </w:r>
          </w:p>
        </w:tc>
        <w:tc>
          <w:tcPr>
            <w:tcW w:w="4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3D0F2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B788E"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CC9F33"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7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4498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6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5D6B9"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8B5BC2"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0,4</w:t>
            </w:r>
          </w:p>
        </w:tc>
      </w:tr>
      <w:tr w:rsidR="00BB6B44" w:rsidRPr="00BB6B44" w14:paraId="6E0E2A20" w14:textId="77777777" w:rsidTr="00BB6B44">
        <w:tc>
          <w:tcPr>
            <w:tcW w:w="23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05631A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b/>
                <w:bCs/>
                <w:color w:val="484C51"/>
                <w:kern w:val="0"/>
                <w:sz w:val="16"/>
                <w:szCs w:val="16"/>
                <w:lang w:eastAsia="ru-RU"/>
                <w14:ligatures w14:val="none"/>
              </w:rPr>
              <w:t>Итого за муниципальный район</w:t>
            </w:r>
          </w:p>
        </w:tc>
        <w:tc>
          <w:tcPr>
            <w:tcW w:w="1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BFDD5"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b/>
                <w:bCs/>
                <w:color w:val="484C51"/>
                <w:kern w:val="0"/>
                <w:sz w:val="16"/>
                <w:szCs w:val="16"/>
                <w:lang w:eastAsia="ru-RU"/>
                <w14:ligatures w14:val="none"/>
              </w:rPr>
              <w:t>1,4</w:t>
            </w:r>
          </w:p>
        </w:tc>
        <w:tc>
          <w:tcPr>
            <w:tcW w:w="61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59B57"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50C9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617265"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2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E6F9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1.4</w:t>
            </w:r>
          </w:p>
        </w:tc>
        <w:tc>
          <w:tcPr>
            <w:tcW w:w="4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C116F"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5826D"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i/>
                <w:iCs/>
                <w:color w:val="484C51"/>
                <w:kern w:val="0"/>
                <w:sz w:val="16"/>
                <w:szCs w:val="16"/>
                <w:lang w:eastAsia="ru-RU"/>
                <w14:ligatures w14:val="none"/>
              </w:rPr>
              <w:t>-</w:t>
            </w: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964CB"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w:t>
            </w:r>
          </w:p>
        </w:tc>
        <w:tc>
          <w:tcPr>
            <w:tcW w:w="17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BC8760"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b/>
                <w:bCs/>
                <w:color w:val="484C51"/>
                <w:kern w:val="0"/>
                <w:sz w:val="16"/>
                <w:szCs w:val="16"/>
                <w:lang w:eastAsia="ru-RU"/>
                <w14:ligatures w14:val="none"/>
              </w:rPr>
              <w:t>-</w:t>
            </w:r>
          </w:p>
        </w:tc>
        <w:tc>
          <w:tcPr>
            <w:tcW w:w="16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A26098"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color w:val="484C51"/>
                <w:kern w:val="0"/>
                <w:sz w:val="16"/>
                <w:szCs w:val="16"/>
                <w:lang w:eastAsia="ru-RU"/>
                <w14:ligatures w14:val="none"/>
              </w:rPr>
              <w:t>0</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05E4A" w14:textId="77777777" w:rsidR="00BB6B44" w:rsidRPr="00BB6B44" w:rsidRDefault="00BB6B44" w:rsidP="00BB6B44">
            <w:pPr>
              <w:spacing w:before="100" w:beforeAutospacing="1" w:after="100" w:afterAutospacing="1" w:line="240" w:lineRule="auto"/>
              <w:jc w:val="center"/>
              <w:rPr>
                <w:rFonts w:ascii="Roboto" w:eastAsia="Times New Roman" w:hAnsi="Roboto" w:cs="Times New Roman"/>
                <w:color w:val="484C51"/>
                <w:kern w:val="0"/>
                <w:sz w:val="16"/>
                <w:szCs w:val="16"/>
                <w:lang w:eastAsia="ru-RU"/>
                <w14:ligatures w14:val="none"/>
              </w:rPr>
            </w:pPr>
            <w:r w:rsidRPr="00BB6B44">
              <w:rPr>
                <w:rFonts w:ascii="Roboto" w:eastAsia="Times New Roman" w:hAnsi="Roboto" w:cs="Times New Roman"/>
                <w:b/>
                <w:bCs/>
                <w:color w:val="484C51"/>
                <w:kern w:val="0"/>
                <w:sz w:val="16"/>
                <w:szCs w:val="16"/>
                <w:lang w:eastAsia="ru-RU"/>
                <w14:ligatures w14:val="none"/>
              </w:rPr>
              <w:t>1.25</w:t>
            </w:r>
          </w:p>
        </w:tc>
      </w:tr>
    </w:tbl>
    <w:p w14:paraId="34C8BDBF" w14:textId="77777777" w:rsidR="00CB3F87" w:rsidRPr="00BB6B44" w:rsidRDefault="00CB3F87">
      <w:pPr>
        <w:rPr>
          <w:sz w:val="16"/>
          <w:szCs w:val="16"/>
        </w:rPr>
      </w:pPr>
    </w:p>
    <w:sectPr w:rsidR="00CB3F87" w:rsidRPr="00BB6B44" w:rsidSect="00BB6B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44"/>
    <w:rsid w:val="00BB6B44"/>
    <w:rsid w:val="00CB3F87"/>
    <w:rsid w:val="00DA0D77"/>
    <w:rsid w:val="00ED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9B7B"/>
  <w15:chartTrackingRefBased/>
  <w15:docId w15:val="{8EC5F1D8-A578-40A5-B13A-E3FC511A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2024-12-25T08:04:00Z</dcterms:created>
  <dcterms:modified xsi:type="dcterms:W3CDTF">2024-12-25T08:05:00Z</dcterms:modified>
</cp:coreProperties>
</file>