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700551374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77777777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Дубровского районного Совета народных депутатов 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49DED1A5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и на плановый период 202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55A23BA2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2C5E5A">
        <w:rPr>
          <w:rFonts w:ascii="Times New Roman" w:eastAsia="Calibri" w:hAnsi="Times New Roman" w:cs="Times New Roman"/>
          <w:sz w:val="36"/>
          <w:szCs w:val="36"/>
        </w:rPr>
        <w:t>1</w:t>
      </w:r>
    </w:p>
    <w:p w14:paraId="6A79E234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69F0F5" w14:textId="77777777" w:rsidR="00945764" w:rsidRPr="00945764" w:rsidRDefault="00945764" w:rsidP="009457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303DC4CD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решения Дубровского районного Совета народных депутатов  «О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пунктом 1.1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2021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4683A575" w:rsid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B342F9"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342F9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342F9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>, 26.11.021 №183-7</w:t>
      </w:r>
      <w:r w:rsidR="00BB2E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600A63" w14:textId="24A6F8E2" w:rsidR="002623A9" w:rsidRPr="00211468" w:rsidRDefault="002623A9" w:rsidP="00262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7959180"/>
      <w:r w:rsidRPr="00211468">
        <w:rPr>
          <w:rFonts w:ascii="Times New Roman" w:eastAsia="Calibri" w:hAnsi="Times New Roman" w:cs="Times New Roman"/>
          <w:sz w:val="28"/>
          <w:szCs w:val="28"/>
        </w:rPr>
        <w:t>«П</w:t>
      </w:r>
      <w:r w:rsidRPr="0021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</w:t>
      </w:r>
      <w:r w:rsidRPr="00211468">
        <w:rPr>
          <w:rFonts w:ascii="Times New Roman" w:eastAsia="Calibri" w:hAnsi="Times New Roman" w:cs="Times New Roman"/>
          <w:sz w:val="28"/>
          <w:szCs w:val="28"/>
        </w:rPr>
        <w:t>» утвержденный решением Дубровского районного Совета народных депутатов №74-6 от 03.03.2015 не в полной мере соответствует требованиям п. 3 ст. 184.1 БК РФ (в ред. ФЗ от 01.07.2021 №251-ФЗ), в части с</w:t>
      </w:r>
      <w:r w:rsidRPr="0021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 показателей решения о бюджете.</w:t>
      </w:r>
      <w:r w:rsidRPr="002114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375B4786" w14:textId="4582E796" w:rsidR="00CC2C18" w:rsidRDefault="005F4A26" w:rsidP="00F66A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2DD425BB" w:rsidR="005F4A26" w:rsidRPr="005F4A26" w:rsidRDefault="00F66A3A" w:rsidP="00F66A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EE2F297" w14:textId="6E9C318E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в сумме </w:t>
      </w:r>
      <w:r w:rsidR="00BA7DD6">
        <w:rPr>
          <w:rFonts w:ascii="Times New Roman" w:hAnsi="Times New Roman" w:cs="Times New Roman"/>
          <w:sz w:val="28"/>
          <w:szCs w:val="28"/>
        </w:rPr>
        <w:t>358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983</w:t>
      </w:r>
      <w:r w:rsidR="00B74CD8">
        <w:rPr>
          <w:rFonts w:ascii="Times New Roman" w:hAnsi="Times New Roman" w:cs="Times New Roman"/>
          <w:sz w:val="28"/>
          <w:szCs w:val="28"/>
        </w:rPr>
        <w:t>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102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314</w:t>
      </w:r>
      <w:r w:rsidR="00B74CD8">
        <w:rPr>
          <w:rFonts w:ascii="Times New Roman" w:hAnsi="Times New Roman" w:cs="Times New Roman"/>
          <w:sz w:val="28"/>
          <w:szCs w:val="28"/>
        </w:rPr>
        <w:t>,</w:t>
      </w:r>
      <w:r w:rsidR="00BA7DD6">
        <w:rPr>
          <w:rFonts w:ascii="Times New Roman" w:hAnsi="Times New Roman" w:cs="Times New Roman"/>
          <w:sz w:val="28"/>
          <w:szCs w:val="28"/>
        </w:rPr>
        <w:t>0</w:t>
      </w:r>
      <w:r w:rsidR="00B74CD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56F24779" w14:textId="336F5CCD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 w:rsidR="00BA7DD6">
        <w:rPr>
          <w:rFonts w:ascii="Times New Roman" w:hAnsi="Times New Roman" w:cs="Times New Roman"/>
          <w:sz w:val="28"/>
          <w:szCs w:val="28"/>
        </w:rPr>
        <w:t>358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983</w:t>
      </w:r>
      <w:r w:rsidR="00B74CD8">
        <w:rPr>
          <w:rFonts w:ascii="Times New Roman" w:hAnsi="Times New Roman" w:cs="Times New Roman"/>
          <w:sz w:val="28"/>
          <w:szCs w:val="28"/>
        </w:rPr>
        <w:t>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708F8A9A" w14:textId="54DA7A88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48253D" w14:textId="77777777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6E1881B" w14:textId="3E20A3E1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lastRenderedPageBreak/>
        <w:t>- прогнозируемый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303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172</w:t>
      </w:r>
      <w:r w:rsidR="00B74CD8">
        <w:rPr>
          <w:rFonts w:ascii="Times New Roman" w:hAnsi="Times New Roman" w:cs="Times New Roman"/>
          <w:sz w:val="28"/>
          <w:szCs w:val="28"/>
        </w:rPr>
        <w:t>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104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391</w:t>
      </w:r>
      <w:r w:rsidR="00B74CD8">
        <w:rPr>
          <w:rFonts w:ascii="Times New Roman" w:hAnsi="Times New Roman" w:cs="Times New Roman"/>
          <w:sz w:val="28"/>
          <w:szCs w:val="28"/>
        </w:rPr>
        <w:t>,</w:t>
      </w:r>
      <w:r w:rsidR="00BA7DD6">
        <w:rPr>
          <w:rFonts w:ascii="Times New Roman" w:hAnsi="Times New Roman" w:cs="Times New Roman"/>
          <w:sz w:val="28"/>
          <w:szCs w:val="28"/>
        </w:rPr>
        <w:t>0</w:t>
      </w:r>
      <w:r w:rsidRPr="00CC2C18">
        <w:rPr>
          <w:rFonts w:ascii="Times New Roman" w:hAnsi="Times New Roman" w:cs="Times New Roman"/>
          <w:sz w:val="28"/>
          <w:szCs w:val="28"/>
        </w:rPr>
        <w:t xml:space="preserve"> </w:t>
      </w:r>
      <w:r w:rsidR="00B74CD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C2C18">
        <w:rPr>
          <w:rFonts w:ascii="Times New Roman" w:hAnsi="Times New Roman" w:cs="Times New Roman"/>
          <w:sz w:val="28"/>
          <w:szCs w:val="28"/>
        </w:rPr>
        <w:t>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299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328</w:t>
      </w:r>
      <w:r w:rsidR="00B74CD8">
        <w:rPr>
          <w:rFonts w:ascii="Times New Roman" w:hAnsi="Times New Roman" w:cs="Times New Roman"/>
          <w:sz w:val="28"/>
          <w:szCs w:val="28"/>
        </w:rPr>
        <w:t>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BA7DD6">
        <w:rPr>
          <w:rFonts w:ascii="Times New Roman" w:hAnsi="Times New Roman" w:cs="Times New Roman"/>
          <w:sz w:val="28"/>
          <w:szCs w:val="28"/>
        </w:rPr>
        <w:t>110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971</w:t>
      </w:r>
      <w:r w:rsidR="00B74CD8">
        <w:rPr>
          <w:rFonts w:ascii="Times New Roman" w:hAnsi="Times New Roman" w:cs="Times New Roman"/>
          <w:sz w:val="28"/>
          <w:szCs w:val="28"/>
        </w:rPr>
        <w:t>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79009" w14:textId="1EAE7104" w:rsidR="00CC2C18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303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172</w:t>
      </w:r>
      <w:r w:rsidR="00B74CD8">
        <w:rPr>
          <w:rFonts w:ascii="Times New Roman" w:hAnsi="Times New Roman" w:cs="Times New Roman"/>
          <w:sz w:val="28"/>
          <w:szCs w:val="28"/>
        </w:rPr>
        <w:t>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DD6">
        <w:rPr>
          <w:rFonts w:ascii="Times New Roman" w:hAnsi="Times New Roman" w:cs="Times New Roman"/>
          <w:sz w:val="28"/>
          <w:szCs w:val="28"/>
        </w:rPr>
        <w:t>299</w:t>
      </w:r>
      <w:r w:rsidR="00B74CD8">
        <w:rPr>
          <w:rFonts w:ascii="Times New Roman" w:hAnsi="Times New Roman" w:cs="Times New Roman"/>
          <w:sz w:val="28"/>
          <w:szCs w:val="28"/>
        </w:rPr>
        <w:t> </w:t>
      </w:r>
      <w:r w:rsidR="00BA7DD6">
        <w:rPr>
          <w:rFonts w:ascii="Times New Roman" w:hAnsi="Times New Roman" w:cs="Times New Roman"/>
          <w:sz w:val="28"/>
          <w:szCs w:val="28"/>
        </w:rPr>
        <w:t>328</w:t>
      </w:r>
      <w:r w:rsidR="00B74CD8">
        <w:rPr>
          <w:rFonts w:ascii="Times New Roman" w:hAnsi="Times New Roman" w:cs="Times New Roman"/>
          <w:sz w:val="28"/>
          <w:szCs w:val="28"/>
        </w:rPr>
        <w:t>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CAE330" w14:textId="7874FC91" w:rsidR="002157C6" w:rsidRDefault="00CC2C18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 w:rsidR="00B74CD8"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.</w:t>
      </w:r>
    </w:p>
    <w:p w14:paraId="2CBCB9F6" w14:textId="77777777" w:rsidR="00B505C1" w:rsidRPr="00B505C1" w:rsidRDefault="00B505C1" w:rsidP="00B5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14:paraId="5F36E47D" w14:textId="73B1CF52" w:rsidR="00B505C1" w:rsidRDefault="00B505C1" w:rsidP="00B505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291C5F41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2024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2021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 </w:t>
      </w:r>
    </w:p>
    <w:p w14:paraId="6330457A" w14:textId="77777777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2022 год и на плановый период 2023 и 2024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3CA61853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по двум вариантам – консервативному и базовому.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 за основу взят базовый вариант прогноза.</w:t>
      </w:r>
    </w:p>
    <w:p w14:paraId="7DA7B8BA" w14:textId="04C36ACA" w:rsidR="00FD1AE5" w:rsidRPr="00FD1AE5" w:rsidRDefault="00FD1AE5" w:rsidP="000E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население района по состоянию на 1 января 2021 года насчитывает 16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среднегодовом исчислении за 2020 год – 16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Официально к уровню прошлого года оно уменьшилось на 254 человека. Уменьшение численности населения района произошло за счет городского населения на 151 человек, за счет сельского населения – на 103 человека. Причинами ухудшения демографической ситуации является естественная убыль (183 человек) и миграционные процессы (63 человека).</w:t>
      </w:r>
    </w:p>
    <w:p w14:paraId="2666BE5E" w14:textId="6ABE8F75" w:rsidR="00FD1AE5" w:rsidRPr="00FD1AE5" w:rsidRDefault="00FD1AE5" w:rsidP="00FD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Среднегодовая численность населения района в 2021 году оценивается 16,3 тыс.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823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прогнозу в 2022 году составит 16,2 тыс. человек, в 2024 году – 16,1 тыс. человек.</w:t>
      </w:r>
    </w:p>
    <w:p w14:paraId="078392D2" w14:textId="64CE38AA" w:rsidR="00233781" w:rsidRPr="00233781" w:rsidRDefault="00FD1AE5" w:rsidP="000E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прогноза социально-экономического развития промышленного производства на 2022 год и на плановый период на 2023 –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годов разработаны с учетом работы промышленных предприятий за предыдущие годы и отчетный период текущего года (9 месяцев 2021 года) и индексов-дефляторов на промышленную продукцию.</w:t>
      </w:r>
    </w:p>
    <w:p w14:paraId="64345C94" w14:textId="4CF61737" w:rsidR="00AC2E10" w:rsidRPr="00AC2E10" w:rsidRDefault="00AC2E10" w:rsidP="00AC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отраслей сектора экономики района является сельское хозяйство, цель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объемов производства сельскохозяйственной продукции за счет применения современных технологий.</w:t>
      </w:r>
    </w:p>
    <w:p w14:paraId="0706A009" w14:textId="01272A6E" w:rsidR="00807A9A" w:rsidRDefault="00D66758" w:rsidP="0080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являться важным сектором рыночной экономики района и оказыва</w:t>
      </w:r>
      <w:r w:rsidR="00B1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влияние на социально-экономическую ситуацию в районе. В 2022-2024 годах прогнозируется незначительный рост количества малых предприятий в сравнении с 2020 годом. </w:t>
      </w:r>
    </w:p>
    <w:p w14:paraId="68F069BC" w14:textId="27A1D99D" w:rsidR="005235BA" w:rsidRPr="005235BA" w:rsidRDefault="00091B2E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среднемесячной номинальной начисленной заработной платы в 2020 году сложилась по предприяти</w:t>
      </w:r>
      <w:r w:rsidR="001272A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служащих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гарнизона) в размере 30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(112,5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 года), в том числе по крупным и средним предприятиям – 26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(110,9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5BA"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 года).</w:t>
      </w:r>
    </w:p>
    <w:p w14:paraId="6A1546DC" w14:textId="0E83F97A" w:rsidR="005235BA" w:rsidRPr="005235BA" w:rsidRDefault="005235BA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2021 году среднемесячная заработная плата оценивается в 33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(рост на 7,5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2020 года), в том числе по крупным и средним предприятиям – 28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A57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(рост на 7,2 процента к уровню 2020 года).</w:t>
      </w:r>
    </w:p>
    <w:p w14:paraId="4D4C4B00" w14:textId="23B71E21" w:rsidR="005235BA" w:rsidRPr="005235BA" w:rsidRDefault="005235BA" w:rsidP="005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2022-2024 годах прогнозируется ежегодный рост заработной платы в номинальном исчислении по предприят</w:t>
      </w:r>
      <w:r w:rsidR="00E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 w:rsidRPr="005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106,8 – 107,3 процента.</w:t>
      </w:r>
    </w:p>
    <w:p w14:paraId="26789E10" w14:textId="7C549098" w:rsidR="00BE424C" w:rsidRPr="00BE424C" w:rsidRDefault="00BE424C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</w:p>
    <w:p w14:paraId="04F0FE08" w14:textId="7A5E3D8C" w:rsidR="00BE424C" w:rsidRDefault="00BE424C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 xml:space="preserve">3.1. Основные параметры консолидированного бюджета </w:t>
      </w:r>
    </w:p>
    <w:p w14:paraId="1AA51300" w14:textId="4A0A6B93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2022-2024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2024 году по сравнению с оценкой 2021 года. В 2022 году доля доходов консолидированного бюджета прогнозируется на уровне </w:t>
      </w:r>
      <w:r w:rsidR="00532AAE">
        <w:rPr>
          <w:rFonts w:ascii="Times New Roman" w:hAnsi="Times New Roman" w:cs="Times New Roman"/>
          <w:sz w:val="28"/>
          <w:szCs w:val="28"/>
        </w:rPr>
        <w:t>6,2</w:t>
      </w:r>
      <w:r w:rsidRPr="00667AA9">
        <w:rPr>
          <w:rFonts w:ascii="Times New Roman" w:hAnsi="Times New Roman" w:cs="Times New Roman"/>
          <w:sz w:val="28"/>
          <w:szCs w:val="28"/>
        </w:rPr>
        <w:t>%, в 2023 году – 1</w:t>
      </w:r>
      <w:r w:rsidR="00532AAE">
        <w:rPr>
          <w:rFonts w:ascii="Times New Roman" w:hAnsi="Times New Roman" w:cs="Times New Roman"/>
          <w:sz w:val="28"/>
          <w:szCs w:val="28"/>
        </w:rPr>
        <w:t>8</w:t>
      </w:r>
      <w:r w:rsidRPr="00667AA9">
        <w:rPr>
          <w:rFonts w:ascii="Times New Roman" w:hAnsi="Times New Roman" w:cs="Times New Roman"/>
          <w:sz w:val="28"/>
          <w:szCs w:val="28"/>
        </w:rPr>
        <w:t xml:space="preserve">,1 %, в 2024 году – </w:t>
      </w:r>
      <w:r w:rsidR="00532AAE">
        <w:rPr>
          <w:rFonts w:ascii="Times New Roman" w:hAnsi="Times New Roman" w:cs="Times New Roman"/>
          <w:sz w:val="28"/>
          <w:szCs w:val="28"/>
        </w:rPr>
        <w:t>21,4</w:t>
      </w:r>
      <w:r w:rsidRPr="00667AA9">
        <w:rPr>
          <w:rFonts w:ascii="Times New Roman" w:hAnsi="Times New Roman" w:cs="Times New Roman"/>
          <w:sz w:val="28"/>
          <w:szCs w:val="28"/>
        </w:rPr>
        <w:t>%, доля расходов прогнозируется в 2022 году на уровне 1</w:t>
      </w:r>
      <w:r w:rsidR="008A5A05">
        <w:rPr>
          <w:rFonts w:ascii="Times New Roman" w:hAnsi="Times New Roman" w:cs="Times New Roman"/>
          <w:sz w:val="28"/>
          <w:szCs w:val="28"/>
        </w:rPr>
        <w:t>1</w:t>
      </w:r>
      <w:r w:rsidRPr="00667AA9">
        <w:rPr>
          <w:rFonts w:ascii="Times New Roman" w:hAnsi="Times New Roman" w:cs="Times New Roman"/>
          <w:sz w:val="28"/>
          <w:szCs w:val="28"/>
        </w:rPr>
        <w:t>,</w:t>
      </w:r>
      <w:r w:rsidR="008A5A05">
        <w:rPr>
          <w:rFonts w:ascii="Times New Roman" w:hAnsi="Times New Roman" w:cs="Times New Roman"/>
          <w:sz w:val="28"/>
          <w:szCs w:val="28"/>
        </w:rPr>
        <w:t>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2023 году – </w:t>
      </w:r>
      <w:r w:rsidR="008A5A05">
        <w:rPr>
          <w:rFonts w:ascii="Times New Roman" w:hAnsi="Times New Roman" w:cs="Times New Roman"/>
          <w:sz w:val="28"/>
          <w:szCs w:val="28"/>
        </w:rPr>
        <w:t>12,6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2024 году – </w:t>
      </w:r>
      <w:r w:rsidR="008A5A05">
        <w:rPr>
          <w:rFonts w:ascii="Times New Roman" w:hAnsi="Times New Roman" w:cs="Times New Roman"/>
          <w:sz w:val="28"/>
          <w:szCs w:val="28"/>
        </w:rPr>
        <w:t>4,1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2AF26288" w:rsidR="00B505C1" w:rsidRPr="00B505C1" w:rsidRDefault="00667AA9" w:rsidP="0066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в 2021-2022 годах и на плановый период 2023-2024 годов представлен в следующей таблице.</w:t>
      </w:r>
      <w:r w:rsidR="00B505C1" w:rsidRPr="00B505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1BB0E19D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0A2E166A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1FBB8C42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23202662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928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44D96DD2" w:rsidR="00B505C1" w:rsidRPr="00B505C1" w:rsidRDefault="001E49D7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445</w:t>
            </w:r>
            <w:r w:rsidR="008F7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594,4</w:t>
            </w:r>
          </w:p>
        </w:tc>
        <w:tc>
          <w:tcPr>
            <w:tcW w:w="1860" w:type="dxa"/>
            <w:vAlign w:val="center"/>
          </w:tcPr>
          <w:p w14:paraId="7D1BE83A" w14:textId="746D6504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417 796,2</w:t>
            </w:r>
          </w:p>
        </w:tc>
        <w:tc>
          <w:tcPr>
            <w:tcW w:w="1860" w:type="dxa"/>
            <w:vAlign w:val="center"/>
          </w:tcPr>
          <w:p w14:paraId="32A8E292" w14:textId="1020D471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365 044,2</w:t>
            </w:r>
          </w:p>
        </w:tc>
        <w:tc>
          <w:tcPr>
            <w:tcW w:w="1860" w:type="dxa"/>
            <w:vAlign w:val="center"/>
          </w:tcPr>
          <w:p w14:paraId="1408CB4A" w14:textId="609E7922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350 089,1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6AD8167A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AAE">
              <w:rPr>
                <w:rFonts w:ascii="Times New Roman" w:eastAsia="Calibri" w:hAnsi="Times New Roman" w:cs="Times New Roman"/>
                <w:sz w:val="24"/>
                <w:szCs w:val="24"/>
              </w:rPr>
              <w:t>130 529,2</w:t>
            </w:r>
          </w:p>
        </w:tc>
        <w:tc>
          <w:tcPr>
            <w:tcW w:w="1860" w:type="dxa"/>
            <w:vAlign w:val="center"/>
          </w:tcPr>
          <w:p w14:paraId="5D64F228" w14:textId="4AEB02C0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139 267,7</w:t>
            </w:r>
          </w:p>
        </w:tc>
        <w:tc>
          <w:tcPr>
            <w:tcW w:w="1860" w:type="dxa"/>
            <w:vAlign w:val="center"/>
          </w:tcPr>
          <w:p w14:paraId="04AAD15C" w14:textId="68F18D66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142 684,3</w:t>
            </w:r>
          </w:p>
        </w:tc>
        <w:tc>
          <w:tcPr>
            <w:tcW w:w="1860" w:type="dxa"/>
            <w:vAlign w:val="center"/>
          </w:tcPr>
          <w:p w14:paraId="282E6E52" w14:textId="71DADD1E" w:rsidR="00B505C1" w:rsidRPr="00B505C1" w:rsidRDefault="009B03DD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150 497,6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6834F9FC" w:rsidR="00AA3DFA" w:rsidRPr="00B505C1" w:rsidRDefault="008F7CEE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469 469,6</w:t>
            </w:r>
          </w:p>
        </w:tc>
        <w:tc>
          <w:tcPr>
            <w:tcW w:w="1860" w:type="dxa"/>
            <w:vAlign w:val="center"/>
          </w:tcPr>
          <w:p w14:paraId="61A5F03E" w14:textId="5CA5F67D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417 796,2</w:t>
            </w:r>
          </w:p>
        </w:tc>
        <w:tc>
          <w:tcPr>
            <w:tcW w:w="1860" w:type="dxa"/>
            <w:vAlign w:val="center"/>
          </w:tcPr>
          <w:p w14:paraId="35FE526A" w14:textId="65EDF2CC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365 044,2</w:t>
            </w:r>
          </w:p>
        </w:tc>
        <w:tc>
          <w:tcPr>
            <w:tcW w:w="1860" w:type="dxa"/>
            <w:vAlign w:val="center"/>
          </w:tcPr>
          <w:p w14:paraId="78AC88D1" w14:textId="748870B2" w:rsidR="00AA3DFA" w:rsidRPr="00B505C1" w:rsidRDefault="00AA3DFA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350 089,1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1525F20F" w:rsidR="00B505C1" w:rsidRPr="00B505C1" w:rsidRDefault="003D14AB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-23875,2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266FC35C" w14:textId="678AB627" w:rsidR="00014A5A" w:rsidRP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доходов консолидированного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4C566B">
        <w:rPr>
          <w:rFonts w:ascii="Times New Roman" w:eastAsia="Calibri" w:hAnsi="Times New Roman" w:cs="Times New Roman"/>
          <w:sz w:val="28"/>
          <w:szCs w:val="28"/>
        </w:rPr>
        <w:t>417796,2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</w:t>
      </w:r>
      <w:r w:rsidR="004C566B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>,</w:t>
      </w:r>
      <w:r w:rsidR="004C566B">
        <w:rPr>
          <w:rFonts w:ascii="Times New Roman" w:eastAsia="Calibri" w:hAnsi="Times New Roman" w:cs="Times New Roman"/>
          <w:sz w:val="28"/>
          <w:szCs w:val="28"/>
        </w:rPr>
        <w:t>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% уровня </w:t>
      </w:r>
      <w:r w:rsidRPr="00014A5A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8D8">
        <w:rPr>
          <w:rFonts w:ascii="Times New Roman" w:eastAsia="Calibri" w:hAnsi="Times New Roman" w:cs="Times New Roman"/>
          <w:sz w:val="28"/>
          <w:szCs w:val="28"/>
        </w:rPr>
        <w:t>365044,2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8D8">
        <w:rPr>
          <w:rFonts w:ascii="Times New Roman" w:eastAsia="Calibri" w:hAnsi="Times New Roman" w:cs="Times New Roman"/>
          <w:sz w:val="28"/>
          <w:szCs w:val="28"/>
        </w:rPr>
        <w:t>350089,1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A6711F" w14:textId="70550723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расходов консолидированного бюджета на 202</w:t>
      </w:r>
      <w:r w:rsidR="00B47FD5"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A62E82">
        <w:rPr>
          <w:rFonts w:ascii="Times New Roman" w:eastAsia="Calibri" w:hAnsi="Times New Roman" w:cs="Times New Roman"/>
          <w:sz w:val="28"/>
          <w:szCs w:val="28"/>
        </w:rPr>
        <w:t>417796,2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A62E82">
        <w:rPr>
          <w:rFonts w:ascii="Times New Roman" w:eastAsia="Calibri" w:hAnsi="Times New Roman" w:cs="Times New Roman"/>
          <w:sz w:val="28"/>
          <w:szCs w:val="28"/>
        </w:rPr>
        <w:t>89,0</w:t>
      </w:r>
      <w:r w:rsidRPr="00014A5A">
        <w:rPr>
          <w:rFonts w:ascii="Times New Roman" w:eastAsia="Calibri" w:hAnsi="Times New Roman" w:cs="Times New Roman"/>
          <w:sz w:val="28"/>
          <w:szCs w:val="28"/>
        </w:rPr>
        <w:t>% уровня 202</w:t>
      </w:r>
      <w:r w:rsidR="00A62E82">
        <w:rPr>
          <w:rFonts w:ascii="Times New Roman" w:eastAsia="Calibri" w:hAnsi="Times New Roman" w:cs="Times New Roman"/>
          <w:sz w:val="28"/>
          <w:szCs w:val="28"/>
        </w:rPr>
        <w:t>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A62E82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62E82">
        <w:rPr>
          <w:rFonts w:ascii="Times New Roman" w:eastAsia="Calibri" w:hAnsi="Times New Roman" w:cs="Times New Roman"/>
          <w:sz w:val="28"/>
          <w:szCs w:val="28"/>
        </w:rPr>
        <w:t>365044,2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62E82"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62E82">
        <w:rPr>
          <w:rFonts w:ascii="Times New Roman" w:eastAsia="Calibri" w:hAnsi="Times New Roman" w:cs="Times New Roman"/>
          <w:sz w:val="28"/>
          <w:szCs w:val="28"/>
        </w:rPr>
        <w:t>350089,1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EE0FE35" w14:textId="1CE3D324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953797">
        <w:rPr>
          <w:rFonts w:ascii="Times New Roman" w:hAnsi="Times New Roman" w:cs="Times New Roman"/>
          <w:sz w:val="28"/>
          <w:szCs w:val="28"/>
        </w:rPr>
        <w:t>2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-2024 годы прогнозируется бездефицитный. </w:t>
      </w:r>
    </w:p>
    <w:p w14:paraId="25EE70C4" w14:textId="27D5EA63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2023 года, на 1 января 2024 года и на 1 января 2025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4A1ABC90" w:rsidR="002051F6" w:rsidRDefault="004E031D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 </w:t>
      </w:r>
    </w:p>
    <w:p w14:paraId="338E28DD" w14:textId="673EB2F2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2051F6">
        <w:rPr>
          <w:rFonts w:ascii="Times New Roman" w:hAnsi="Times New Roman" w:cs="Times New Roman"/>
          <w:sz w:val="28"/>
          <w:szCs w:val="28"/>
        </w:rPr>
        <w:t>2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51F6">
        <w:rPr>
          <w:rFonts w:ascii="Times New Roman" w:hAnsi="Times New Roman" w:cs="Times New Roman"/>
          <w:sz w:val="28"/>
          <w:szCs w:val="28"/>
        </w:rPr>
        <w:t>3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202</w:t>
      </w:r>
      <w:r w:rsidR="002051F6">
        <w:rPr>
          <w:rFonts w:ascii="Times New Roman" w:hAnsi="Times New Roman" w:cs="Times New Roman"/>
          <w:sz w:val="28"/>
          <w:szCs w:val="28"/>
        </w:rPr>
        <w:t>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77777777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06CC6AE8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 w:rsidR="00032925">
        <w:rPr>
          <w:rFonts w:ascii="Times New Roman" w:hAnsi="Times New Roman" w:cs="Times New Roman"/>
          <w:sz w:val="28"/>
          <w:szCs w:val="28"/>
        </w:rPr>
        <w:t>3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 w:rsidR="00032925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</w:t>
      </w:r>
      <w:r w:rsidR="00B41A51" w:rsidRPr="00B41A51">
        <w:rPr>
          <w:rFonts w:ascii="Times New Roman" w:hAnsi="Times New Roman" w:cs="Times New Roman"/>
          <w:sz w:val="28"/>
          <w:szCs w:val="28"/>
        </w:rPr>
        <w:lastRenderedPageBreak/>
        <w:t xml:space="preserve">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6D3A9DD1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 w:rsidR="00B938B1">
        <w:rPr>
          <w:rFonts w:ascii="Times New Roman" w:hAnsi="Times New Roman" w:cs="Times New Roman"/>
          <w:sz w:val="28"/>
          <w:szCs w:val="28"/>
        </w:rPr>
        <w:t>2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38B1">
        <w:rPr>
          <w:rFonts w:ascii="Times New Roman" w:hAnsi="Times New Roman" w:cs="Times New Roman"/>
          <w:sz w:val="28"/>
          <w:szCs w:val="28"/>
        </w:rPr>
        <w:t>3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 w:rsidR="00B938B1">
        <w:rPr>
          <w:rFonts w:ascii="Times New Roman" w:hAnsi="Times New Roman" w:cs="Times New Roman"/>
          <w:sz w:val="28"/>
          <w:szCs w:val="28"/>
        </w:rPr>
        <w:t>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634E324D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>проекта определяет особенности исполнения бюджета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4D1A2876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2022 году состава или функций главных администраторов бюджета,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594590E1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>на 202</w:t>
      </w:r>
      <w:r w:rsidR="009D3D4E">
        <w:rPr>
          <w:rFonts w:ascii="Times New Roman" w:hAnsi="Times New Roman" w:cs="Times New Roman"/>
          <w:sz w:val="28"/>
          <w:szCs w:val="28"/>
        </w:rPr>
        <w:t>3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3D4E">
        <w:rPr>
          <w:rFonts w:ascii="Times New Roman" w:hAnsi="Times New Roman" w:cs="Times New Roman"/>
          <w:sz w:val="28"/>
          <w:szCs w:val="28"/>
        </w:rPr>
        <w:t>4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9D3D4E">
        <w:rPr>
          <w:rFonts w:ascii="Times New Roman" w:hAnsi="Times New Roman" w:cs="Times New Roman"/>
          <w:sz w:val="28"/>
          <w:szCs w:val="28"/>
        </w:rPr>
        <w:t>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2849470F" w14:textId="29C1CEDE" w:rsidR="009D3D4E" w:rsidRDefault="003A37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0B29E0B6" w14:textId="77777777" w:rsidR="007D0D1C" w:rsidRDefault="007D0D1C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FACB6" w14:textId="25817811" w:rsidR="007A05A8" w:rsidRPr="007A05A8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Доходы проекта бюджета </w:t>
      </w:r>
    </w:p>
    <w:p w14:paraId="3B3A3E4D" w14:textId="3764A762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202</w:t>
      </w:r>
      <w:r w:rsidR="00B16F16">
        <w:rPr>
          <w:rFonts w:ascii="Times New Roman" w:hAnsi="Times New Roman" w:cs="Times New Roman"/>
          <w:sz w:val="28"/>
          <w:szCs w:val="28"/>
        </w:rPr>
        <w:t>2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6F16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202</w:t>
      </w:r>
      <w:r w:rsidR="00B16F16">
        <w:rPr>
          <w:rFonts w:ascii="Times New Roman" w:hAnsi="Times New Roman" w:cs="Times New Roman"/>
          <w:sz w:val="28"/>
          <w:szCs w:val="28"/>
        </w:rPr>
        <w:t>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202</w:t>
      </w:r>
      <w:r w:rsidR="00B16F16">
        <w:rPr>
          <w:rFonts w:ascii="Times New Roman" w:hAnsi="Times New Roman" w:cs="Times New Roman"/>
          <w:sz w:val="28"/>
          <w:szCs w:val="28"/>
        </w:rPr>
        <w:t>2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7487886C" w:rsidR="001D38F4" w:rsidRPr="009929E9" w:rsidRDefault="004E204C" w:rsidP="001D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4C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 в 202</w:t>
      </w:r>
      <w:r w:rsidR="00996825">
        <w:rPr>
          <w:rFonts w:ascii="Times New Roman" w:hAnsi="Times New Roman" w:cs="Times New Roman"/>
          <w:sz w:val="28"/>
          <w:szCs w:val="28"/>
        </w:rPr>
        <w:t>2</w:t>
      </w:r>
      <w:r w:rsidRPr="004E204C">
        <w:rPr>
          <w:rFonts w:ascii="Times New Roman" w:hAnsi="Times New Roman" w:cs="Times New Roman"/>
          <w:sz w:val="28"/>
          <w:szCs w:val="28"/>
        </w:rPr>
        <w:t>-202</w:t>
      </w:r>
      <w:r w:rsidR="00996825">
        <w:rPr>
          <w:rFonts w:ascii="Times New Roman" w:hAnsi="Times New Roman" w:cs="Times New Roman"/>
          <w:sz w:val="28"/>
          <w:szCs w:val="28"/>
        </w:rPr>
        <w:t>4</w:t>
      </w:r>
      <w:r w:rsidRPr="004E204C">
        <w:rPr>
          <w:rFonts w:ascii="Times New Roman" w:hAnsi="Times New Roman" w:cs="Times New Roman"/>
          <w:sz w:val="28"/>
          <w:szCs w:val="28"/>
        </w:rPr>
        <w:t xml:space="preserve"> годах представлена в следующей таблице</w:t>
      </w:r>
      <w:r w:rsidR="001D38F4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2BC1CCA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14:paraId="52F5A389" w14:textId="13981229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55A4C64D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2F617495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5F68447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1D38F4" w14:paraId="7C5AB26D" w14:textId="77777777" w:rsidTr="00A714AE">
        <w:tc>
          <w:tcPr>
            <w:tcW w:w="1880" w:type="dxa"/>
          </w:tcPr>
          <w:p w14:paraId="4719ECB7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1C91A03D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305 556,3</w:t>
            </w:r>
          </w:p>
        </w:tc>
        <w:tc>
          <w:tcPr>
            <w:tcW w:w="1093" w:type="dxa"/>
            <w:vAlign w:val="center"/>
          </w:tcPr>
          <w:p w14:paraId="7B8449C7" w14:textId="376AB827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368 762,9</w:t>
            </w:r>
          </w:p>
        </w:tc>
        <w:tc>
          <w:tcPr>
            <w:tcW w:w="1054" w:type="dxa"/>
            <w:vAlign w:val="center"/>
          </w:tcPr>
          <w:p w14:paraId="1D0F5673" w14:textId="20CB28ED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358 983,1</w:t>
            </w:r>
          </w:p>
        </w:tc>
        <w:tc>
          <w:tcPr>
            <w:tcW w:w="781" w:type="dxa"/>
            <w:vAlign w:val="center"/>
          </w:tcPr>
          <w:p w14:paraId="70744514" w14:textId="2D7947FB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54" w:type="dxa"/>
            <w:vAlign w:val="center"/>
          </w:tcPr>
          <w:p w14:paraId="378AFF29" w14:textId="64DC46EE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303 172,5</w:t>
            </w:r>
          </w:p>
        </w:tc>
        <w:tc>
          <w:tcPr>
            <w:tcW w:w="781" w:type="dxa"/>
            <w:vAlign w:val="center"/>
          </w:tcPr>
          <w:p w14:paraId="6A6B9B23" w14:textId="2F20D64C" w:rsidR="001D38F4" w:rsidRPr="00AA08C2" w:rsidRDefault="00173150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84,5</w:t>
            </w:r>
          </w:p>
        </w:tc>
        <w:tc>
          <w:tcPr>
            <w:tcW w:w="1054" w:type="dxa"/>
            <w:vAlign w:val="center"/>
          </w:tcPr>
          <w:p w14:paraId="3D2B865A" w14:textId="793641E8" w:rsidR="001D38F4" w:rsidRPr="00AA08C2" w:rsidRDefault="006609EC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299 328,9</w:t>
            </w:r>
          </w:p>
        </w:tc>
        <w:tc>
          <w:tcPr>
            <w:tcW w:w="781" w:type="dxa"/>
            <w:vAlign w:val="center"/>
          </w:tcPr>
          <w:p w14:paraId="49CDEF1B" w14:textId="4733C5F2" w:rsidR="001D38F4" w:rsidRPr="00AA08C2" w:rsidRDefault="006609EC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1D38F4" w14:paraId="2A65A336" w14:textId="77777777" w:rsidTr="00A714AE">
        <w:tc>
          <w:tcPr>
            <w:tcW w:w="1880" w:type="dxa"/>
          </w:tcPr>
          <w:p w14:paraId="3E7BF4B6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DA49F3C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91 501,2</w:t>
            </w:r>
          </w:p>
        </w:tc>
        <w:tc>
          <w:tcPr>
            <w:tcW w:w="1093" w:type="dxa"/>
            <w:vAlign w:val="center"/>
          </w:tcPr>
          <w:p w14:paraId="0B4B65E3" w14:textId="4E632C9E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94 248,0</w:t>
            </w:r>
          </w:p>
        </w:tc>
        <w:tc>
          <w:tcPr>
            <w:tcW w:w="1054" w:type="dxa"/>
            <w:vAlign w:val="center"/>
          </w:tcPr>
          <w:p w14:paraId="66906E7C" w14:textId="371B922C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102 314,0</w:t>
            </w:r>
          </w:p>
        </w:tc>
        <w:tc>
          <w:tcPr>
            <w:tcW w:w="781" w:type="dxa"/>
            <w:vAlign w:val="center"/>
          </w:tcPr>
          <w:p w14:paraId="4DEB6DA7" w14:textId="3965E556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108,6</w:t>
            </w:r>
          </w:p>
        </w:tc>
        <w:tc>
          <w:tcPr>
            <w:tcW w:w="1054" w:type="dxa"/>
            <w:vAlign w:val="center"/>
          </w:tcPr>
          <w:p w14:paraId="5BDA7B01" w14:textId="11A831B6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104 391,0</w:t>
            </w:r>
          </w:p>
        </w:tc>
        <w:tc>
          <w:tcPr>
            <w:tcW w:w="781" w:type="dxa"/>
            <w:vAlign w:val="center"/>
          </w:tcPr>
          <w:p w14:paraId="67ADBF4F" w14:textId="62C2275A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102,0</w:t>
            </w:r>
          </w:p>
        </w:tc>
        <w:tc>
          <w:tcPr>
            <w:tcW w:w="1054" w:type="dxa"/>
            <w:vAlign w:val="center"/>
          </w:tcPr>
          <w:p w14:paraId="0F9133C3" w14:textId="39C369A2" w:rsidR="001D38F4" w:rsidRPr="00AA08C2" w:rsidRDefault="00C53D90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110 971,0</w:t>
            </w:r>
          </w:p>
        </w:tc>
        <w:tc>
          <w:tcPr>
            <w:tcW w:w="781" w:type="dxa"/>
            <w:vAlign w:val="center"/>
          </w:tcPr>
          <w:p w14:paraId="507B6F32" w14:textId="0F75D89F" w:rsidR="001D38F4" w:rsidRPr="00AA08C2" w:rsidRDefault="00443647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106,3</w:t>
            </w:r>
          </w:p>
        </w:tc>
      </w:tr>
      <w:tr w:rsidR="001D38F4" w14:paraId="21A5E759" w14:textId="77777777" w:rsidTr="00A714AE">
        <w:tc>
          <w:tcPr>
            <w:tcW w:w="1880" w:type="dxa"/>
          </w:tcPr>
          <w:p w14:paraId="1833247D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57CFA55B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85 393,3</w:t>
            </w:r>
          </w:p>
        </w:tc>
        <w:tc>
          <w:tcPr>
            <w:tcW w:w="1093" w:type="dxa"/>
            <w:vAlign w:val="center"/>
          </w:tcPr>
          <w:p w14:paraId="3E94C588" w14:textId="5784F59D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84 832,0</w:t>
            </w:r>
          </w:p>
        </w:tc>
        <w:tc>
          <w:tcPr>
            <w:tcW w:w="1054" w:type="dxa"/>
            <w:vAlign w:val="center"/>
          </w:tcPr>
          <w:p w14:paraId="6C6AD323" w14:textId="0D6532C0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91 695,0</w:t>
            </w:r>
          </w:p>
        </w:tc>
        <w:tc>
          <w:tcPr>
            <w:tcW w:w="781" w:type="dxa"/>
            <w:vAlign w:val="center"/>
          </w:tcPr>
          <w:p w14:paraId="5932D2A9" w14:textId="2D23B123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0DC87B6F" w14:textId="7E58AB2A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97 787,0</w:t>
            </w:r>
          </w:p>
        </w:tc>
        <w:tc>
          <w:tcPr>
            <w:tcW w:w="781" w:type="dxa"/>
            <w:vAlign w:val="center"/>
          </w:tcPr>
          <w:p w14:paraId="5F34033A" w14:textId="77C6535F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14:paraId="696CA0DC" w14:textId="2AAB6C0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104 316,0</w:t>
            </w:r>
          </w:p>
        </w:tc>
        <w:tc>
          <w:tcPr>
            <w:tcW w:w="781" w:type="dxa"/>
            <w:vAlign w:val="center"/>
          </w:tcPr>
          <w:p w14:paraId="0763FB21" w14:textId="02D3A94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106,7</w:t>
            </w:r>
          </w:p>
        </w:tc>
      </w:tr>
      <w:tr w:rsidR="001D38F4" w14:paraId="7525DF4C" w14:textId="77777777" w:rsidTr="00A714AE">
        <w:tc>
          <w:tcPr>
            <w:tcW w:w="1880" w:type="dxa"/>
          </w:tcPr>
          <w:p w14:paraId="74A90A4F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1BA79248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6 107,9</w:t>
            </w:r>
          </w:p>
        </w:tc>
        <w:tc>
          <w:tcPr>
            <w:tcW w:w="1093" w:type="dxa"/>
            <w:vAlign w:val="center"/>
          </w:tcPr>
          <w:p w14:paraId="49E985B5" w14:textId="3386DACF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9 416,0</w:t>
            </w:r>
          </w:p>
        </w:tc>
        <w:tc>
          <w:tcPr>
            <w:tcW w:w="1054" w:type="dxa"/>
            <w:vAlign w:val="center"/>
          </w:tcPr>
          <w:p w14:paraId="1EBB517D" w14:textId="3B5B9DFB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10 619,0</w:t>
            </w:r>
          </w:p>
        </w:tc>
        <w:tc>
          <w:tcPr>
            <w:tcW w:w="781" w:type="dxa"/>
            <w:vAlign w:val="center"/>
          </w:tcPr>
          <w:p w14:paraId="1331EEFF" w14:textId="0303409A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112,8</w:t>
            </w:r>
          </w:p>
        </w:tc>
        <w:tc>
          <w:tcPr>
            <w:tcW w:w="1054" w:type="dxa"/>
            <w:vAlign w:val="center"/>
          </w:tcPr>
          <w:p w14:paraId="7DAA6428" w14:textId="5676D798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6 604,0</w:t>
            </w:r>
          </w:p>
        </w:tc>
        <w:tc>
          <w:tcPr>
            <w:tcW w:w="781" w:type="dxa"/>
            <w:vAlign w:val="center"/>
          </w:tcPr>
          <w:p w14:paraId="0CD1433A" w14:textId="180B0A0E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62,2</w:t>
            </w:r>
          </w:p>
        </w:tc>
        <w:tc>
          <w:tcPr>
            <w:tcW w:w="1054" w:type="dxa"/>
            <w:vAlign w:val="center"/>
          </w:tcPr>
          <w:p w14:paraId="530CC2BD" w14:textId="029780C7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6 655,0</w:t>
            </w:r>
          </w:p>
        </w:tc>
        <w:tc>
          <w:tcPr>
            <w:tcW w:w="781" w:type="dxa"/>
            <w:vAlign w:val="center"/>
          </w:tcPr>
          <w:p w14:paraId="2B97AF1E" w14:textId="46962019" w:rsidR="001D38F4" w:rsidRPr="00AA08C2" w:rsidRDefault="00CA05D1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100,8</w:t>
            </w:r>
          </w:p>
        </w:tc>
      </w:tr>
      <w:tr w:rsidR="001D38F4" w14:paraId="6617B95E" w14:textId="77777777" w:rsidTr="00A714AE">
        <w:tc>
          <w:tcPr>
            <w:tcW w:w="1880" w:type="dxa"/>
          </w:tcPr>
          <w:p w14:paraId="48F458CD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61C6DBA1" w:rsidR="001D38F4" w:rsidRPr="00AA08C2" w:rsidRDefault="003243F8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214 055,1</w:t>
            </w:r>
          </w:p>
        </w:tc>
        <w:tc>
          <w:tcPr>
            <w:tcW w:w="1093" w:type="dxa"/>
            <w:vAlign w:val="center"/>
          </w:tcPr>
          <w:p w14:paraId="47F727BF" w14:textId="3476256F" w:rsidR="001D38F4" w:rsidRPr="00AA08C2" w:rsidRDefault="008E58CF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274 514,9</w:t>
            </w:r>
          </w:p>
        </w:tc>
        <w:tc>
          <w:tcPr>
            <w:tcW w:w="1054" w:type="dxa"/>
            <w:vAlign w:val="center"/>
          </w:tcPr>
          <w:p w14:paraId="6FBC9C81" w14:textId="1B3B4DD0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256 669,1</w:t>
            </w:r>
          </w:p>
        </w:tc>
        <w:tc>
          <w:tcPr>
            <w:tcW w:w="781" w:type="dxa"/>
            <w:vAlign w:val="center"/>
          </w:tcPr>
          <w:p w14:paraId="31CD0410" w14:textId="6C2EB672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054" w:type="dxa"/>
            <w:vAlign w:val="center"/>
          </w:tcPr>
          <w:p w14:paraId="2121B5C0" w14:textId="269BAAD4" w:rsidR="001D38F4" w:rsidRPr="00AA08C2" w:rsidRDefault="00180861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  <w:r w:rsidR="00E56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781,5</w:t>
            </w:r>
          </w:p>
        </w:tc>
        <w:tc>
          <w:tcPr>
            <w:tcW w:w="781" w:type="dxa"/>
            <w:vAlign w:val="center"/>
          </w:tcPr>
          <w:p w14:paraId="25465BB8" w14:textId="573BF8A6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54" w:type="dxa"/>
            <w:vAlign w:val="center"/>
          </w:tcPr>
          <w:p w14:paraId="17397AF0" w14:textId="24C5DA57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188 357,9</w:t>
            </w:r>
          </w:p>
        </w:tc>
        <w:tc>
          <w:tcPr>
            <w:tcW w:w="781" w:type="dxa"/>
            <w:vAlign w:val="center"/>
          </w:tcPr>
          <w:p w14:paraId="132DFB8B" w14:textId="1C7E14C4" w:rsidR="001D38F4" w:rsidRPr="00AA08C2" w:rsidRDefault="00E56115" w:rsidP="00A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94,8</w:t>
            </w:r>
          </w:p>
        </w:tc>
      </w:tr>
    </w:tbl>
    <w:p w14:paraId="17AC1762" w14:textId="0883C0B7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277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F2168E">
        <w:rPr>
          <w:rFonts w:ascii="Times New Roman" w:hAnsi="Times New Roman" w:cs="Times New Roman"/>
          <w:sz w:val="28"/>
          <w:szCs w:val="28"/>
        </w:rPr>
        <w:t>358983,1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216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168E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F2168E">
        <w:rPr>
          <w:rFonts w:ascii="Times New Roman" w:hAnsi="Times New Roman" w:cs="Times New Roman"/>
          <w:sz w:val="28"/>
          <w:szCs w:val="28"/>
        </w:rPr>
        <w:t>9779,8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F2168E">
        <w:rPr>
          <w:rFonts w:ascii="Times New Roman" w:hAnsi="Times New Roman" w:cs="Times New Roman"/>
          <w:sz w:val="28"/>
          <w:szCs w:val="28"/>
        </w:rPr>
        <w:t>2,7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2168E">
        <w:rPr>
          <w:rFonts w:ascii="Times New Roman" w:hAnsi="Times New Roman" w:cs="Times New Roman"/>
          <w:sz w:val="28"/>
          <w:szCs w:val="28"/>
        </w:rPr>
        <w:t>303172,5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F2168E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F2168E">
        <w:rPr>
          <w:rFonts w:ascii="Times New Roman" w:hAnsi="Times New Roman" w:cs="Times New Roman"/>
          <w:sz w:val="28"/>
          <w:szCs w:val="28"/>
        </w:rPr>
        <w:t>299328,9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F2168E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F2168E">
        <w:rPr>
          <w:rFonts w:ascii="Times New Roman" w:hAnsi="Times New Roman" w:cs="Times New Roman"/>
          <w:sz w:val="28"/>
          <w:szCs w:val="28"/>
        </w:rPr>
        <w:t>84,5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216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5462CDAE" w14:textId="2E80F282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sz w:val="28"/>
          <w:szCs w:val="28"/>
        </w:rPr>
        <w:t>В 202</w:t>
      </w:r>
      <w:r w:rsidR="002D7519" w:rsidRPr="00694677">
        <w:rPr>
          <w:rFonts w:ascii="Times New Roman" w:hAnsi="Times New Roman" w:cs="Times New Roman"/>
          <w:sz w:val="28"/>
          <w:szCs w:val="28"/>
        </w:rPr>
        <w:t>1</w:t>
      </w:r>
      <w:r w:rsidRPr="006946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налоговых и неналоговых </w:t>
      </w:r>
    </w:p>
    <w:p w14:paraId="6D7981B2" w14:textId="7B4F29CA" w:rsidR="0074393E" w:rsidRPr="00AB4354" w:rsidRDefault="0074393E" w:rsidP="0074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бюджета принята </w:t>
      </w:r>
      <w:r>
        <w:rPr>
          <w:rFonts w:ascii="Times New Roman" w:hAnsi="Times New Roman" w:cs="Times New Roman"/>
          <w:sz w:val="28"/>
          <w:szCs w:val="28"/>
        </w:rPr>
        <w:t xml:space="preserve">меньше на </w:t>
      </w:r>
      <w:r w:rsidR="00D44EC6">
        <w:rPr>
          <w:rFonts w:ascii="Times New Roman" w:hAnsi="Times New Roman" w:cs="Times New Roman"/>
          <w:sz w:val="28"/>
          <w:szCs w:val="28"/>
        </w:rPr>
        <w:t>5577,0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44EC6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14:paraId="5FD1CEBD" w14:textId="60109E02" w:rsidR="006E64B2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бюджета в ходе рассмотрения бюджета и его дальнейшего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9375" w14:textId="6BDD4568" w:rsidR="00D87AB6" w:rsidRDefault="00D87AB6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>В 202</w:t>
      </w:r>
      <w:r w:rsidR="00D562BD">
        <w:rPr>
          <w:rFonts w:ascii="Times New Roman" w:hAnsi="Times New Roman" w:cs="Times New Roman"/>
          <w:sz w:val="28"/>
          <w:szCs w:val="28"/>
        </w:rPr>
        <w:t>2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 w:rsidR="00694677">
        <w:rPr>
          <w:rFonts w:ascii="Times New Roman" w:hAnsi="Times New Roman" w:cs="Times New Roman"/>
          <w:sz w:val="28"/>
          <w:szCs w:val="28"/>
        </w:rPr>
        <w:t>102 314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рублей. В плановом периоде доля налоговых и неналоговых доходов составляет </w:t>
      </w:r>
      <w:r w:rsidR="00694677">
        <w:rPr>
          <w:rFonts w:ascii="Times New Roman" w:hAnsi="Times New Roman" w:cs="Times New Roman"/>
          <w:sz w:val="28"/>
          <w:szCs w:val="28"/>
        </w:rPr>
        <w:t>34,4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D562BD">
        <w:rPr>
          <w:rFonts w:ascii="Times New Roman" w:hAnsi="Times New Roman" w:cs="Times New Roman"/>
          <w:sz w:val="28"/>
          <w:szCs w:val="28"/>
        </w:rPr>
        <w:t>3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94677">
        <w:rPr>
          <w:rFonts w:ascii="Times New Roman" w:hAnsi="Times New Roman" w:cs="Times New Roman"/>
          <w:sz w:val="28"/>
          <w:szCs w:val="28"/>
        </w:rPr>
        <w:t>37,1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D562BD">
        <w:rPr>
          <w:rFonts w:ascii="Times New Roman" w:hAnsi="Times New Roman" w:cs="Times New Roman"/>
          <w:sz w:val="28"/>
          <w:szCs w:val="28"/>
        </w:rPr>
        <w:t>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C80F91E" w14:textId="77777777" w:rsidR="00403DE2" w:rsidRPr="002A2F6C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6CD2C8A1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>В бюджете на 202</w:t>
      </w:r>
      <w:r w:rsidR="002A2F6C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9D630B">
        <w:rPr>
          <w:rFonts w:ascii="Times New Roman" w:hAnsi="Times New Roman" w:cs="Times New Roman"/>
          <w:sz w:val="28"/>
          <w:szCs w:val="28"/>
        </w:rPr>
        <w:t>91 695,0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2A2F6C">
        <w:rPr>
          <w:rFonts w:ascii="Times New Roman" w:hAnsi="Times New Roman" w:cs="Times New Roman"/>
          <w:sz w:val="28"/>
          <w:szCs w:val="28"/>
        </w:rPr>
        <w:t>1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D630B">
        <w:rPr>
          <w:rFonts w:ascii="Times New Roman" w:hAnsi="Times New Roman" w:cs="Times New Roman"/>
          <w:sz w:val="28"/>
          <w:szCs w:val="28"/>
        </w:rPr>
        <w:t>108,1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2A2F6C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202</w:t>
      </w:r>
      <w:r w:rsidR="002A2F6C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9D630B">
        <w:rPr>
          <w:rFonts w:ascii="Times New Roman" w:hAnsi="Times New Roman" w:cs="Times New Roman"/>
          <w:sz w:val="28"/>
          <w:szCs w:val="28"/>
        </w:rPr>
        <w:t>97 787,0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D630B">
        <w:rPr>
          <w:rFonts w:ascii="Times New Roman" w:hAnsi="Times New Roman" w:cs="Times New Roman"/>
          <w:sz w:val="28"/>
          <w:szCs w:val="28"/>
        </w:rPr>
        <w:t>104316,0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03DE2">
        <w:rPr>
          <w:rFonts w:ascii="Times New Roman" w:hAnsi="Times New Roman" w:cs="Times New Roman"/>
          <w:sz w:val="28"/>
          <w:szCs w:val="28"/>
        </w:rPr>
        <w:lastRenderedPageBreak/>
        <w:t>соответственно. Темп роста в плановом периоде к предшествующему году прогнозируется в размере 106,</w:t>
      </w:r>
      <w:r w:rsidR="009D630B">
        <w:rPr>
          <w:rFonts w:ascii="Times New Roman" w:hAnsi="Times New Roman" w:cs="Times New Roman"/>
          <w:sz w:val="28"/>
          <w:szCs w:val="28"/>
        </w:rPr>
        <w:t>6</w:t>
      </w:r>
      <w:r w:rsidRPr="00403DE2">
        <w:rPr>
          <w:rFonts w:ascii="Times New Roman" w:hAnsi="Times New Roman" w:cs="Times New Roman"/>
          <w:sz w:val="28"/>
          <w:szCs w:val="28"/>
        </w:rPr>
        <w:t>% и 10</w:t>
      </w:r>
      <w:r w:rsidR="009D630B">
        <w:rPr>
          <w:rFonts w:ascii="Times New Roman" w:hAnsi="Times New Roman" w:cs="Times New Roman"/>
          <w:sz w:val="28"/>
          <w:szCs w:val="28"/>
        </w:rPr>
        <w:t>6</w:t>
      </w:r>
      <w:r w:rsidRPr="00403DE2">
        <w:rPr>
          <w:rFonts w:ascii="Times New Roman" w:hAnsi="Times New Roman" w:cs="Times New Roman"/>
          <w:sz w:val="28"/>
          <w:szCs w:val="28"/>
        </w:rPr>
        <w:t>,</w:t>
      </w:r>
      <w:r w:rsidR="009D630B">
        <w:rPr>
          <w:rFonts w:ascii="Times New Roman" w:hAnsi="Times New Roman" w:cs="Times New Roman"/>
          <w:sz w:val="28"/>
          <w:szCs w:val="28"/>
        </w:rPr>
        <w:t>7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составляет </w:t>
      </w:r>
      <w:r w:rsidR="009D630B">
        <w:rPr>
          <w:rFonts w:ascii="Times New Roman" w:hAnsi="Times New Roman" w:cs="Times New Roman"/>
          <w:sz w:val="28"/>
          <w:szCs w:val="28"/>
        </w:rPr>
        <w:t>89,6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9D630B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9D630B">
        <w:rPr>
          <w:rFonts w:ascii="Times New Roman" w:hAnsi="Times New Roman" w:cs="Times New Roman"/>
          <w:sz w:val="28"/>
          <w:szCs w:val="28"/>
        </w:rPr>
        <w:t>93,7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9D630B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D630B">
        <w:rPr>
          <w:rFonts w:ascii="Times New Roman" w:hAnsi="Times New Roman" w:cs="Times New Roman"/>
          <w:sz w:val="28"/>
          <w:szCs w:val="28"/>
        </w:rPr>
        <w:t>94,0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9D630B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году. В структуре налоговых и неналоговых доходов доля налоговых доходов также имеет тенденцию к росту: </w:t>
      </w:r>
      <w:r w:rsidR="00C545E4">
        <w:rPr>
          <w:rFonts w:ascii="Times New Roman" w:hAnsi="Times New Roman" w:cs="Times New Roman"/>
          <w:sz w:val="28"/>
          <w:szCs w:val="28"/>
        </w:rPr>
        <w:t>108,1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545E4">
        <w:rPr>
          <w:rFonts w:ascii="Times New Roman" w:hAnsi="Times New Roman" w:cs="Times New Roman"/>
          <w:sz w:val="28"/>
          <w:szCs w:val="28"/>
        </w:rPr>
        <w:t>106,6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C545E4">
        <w:rPr>
          <w:rFonts w:ascii="Times New Roman" w:hAnsi="Times New Roman" w:cs="Times New Roman"/>
          <w:sz w:val="28"/>
          <w:szCs w:val="28"/>
        </w:rPr>
        <w:t>106,7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2A2F6C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391B75" w14:textId="5CE8783E" w:rsidR="00BB242A" w:rsidRDefault="00BB242A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 w:rsidR="009A14D5">
        <w:rPr>
          <w:rFonts w:ascii="Times New Roman" w:hAnsi="Times New Roman" w:cs="Times New Roman"/>
          <w:sz w:val="28"/>
          <w:szCs w:val="28"/>
        </w:rPr>
        <w:t>.</w:t>
      </w:r>
    </w:p>
    <w:p w14:paraId="02C13D48" w14:textId="029035A3" w:rsidR="007C72B7" w:rsidRPr="009929E9" w:rsidRDefault="00EB7ADC" w:rsidP="00B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DC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6A4075">
        <w:rPr>
          <w:rFonts w:ascii="Times New Roman" w:hAnsi="Times New Roman" w:cs="Times New Roman"/>
          <w:sz w:val="28"/>
          <w:szCs w:val="28"/>
        </w:rPr>
        <w:t>ых доходов</w:t>
      </w:r>
      <w:r w:rsidRPr="00EB7ADC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7C72B7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7C72B7" w14:paraId="295B8276" w14:textId="77777777" w:rsidTr="00A714AE">
        <w:tc>
          <w:tcPr>
            <w:tcW w:w="1880" w:type="dxa"/>
            <w:vMerge w:val="restart"/>
            <w:vAlign w:val="center"/>
          </w:tcPr>
          <w:p w14:paraId="4A589BF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538E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45698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ABB0845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14:paraId="64390D11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72262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BAF084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5" w:type="dxa"/>
            <w:gridSpan w:val="2"/>
            <w:vAlign w:val="center"/>
          </w:tcPr>
          <w:p w14:paraId="44DE782B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25B4EFAD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72B7" w14:paraId="2B1BCA29" w14:textId="77777777" w:rsidTr="00A714AE">
        <w:tc>
          <w:tcPr>
            <w:tcW w:w="1880" w:type="dxa"/>
            <w:vMerge/>
          </w:tcPr>
          <w:p w14:paraId="36A8AEB4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42EDF6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2AF9D2F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462DCB0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5D1865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321B41B9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AB51DB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7140CDB7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E20CB15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7C72B7" w14:paraId="7BB562DC" w14:textId="77777777" w:rsidTr="00A714AE">
        <w:tc>
          <w:tcPr>
            <w:tcW w:w="1880" w:type="dxa"/>
          </w:tcPr>
          <w:p w14:paraId="3EBA7755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1280CAD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91 501,2</w:t>
            </w:r>
          </w:p>
        </w:tc>
        <w:tc>
          <w:tcPr>
            <w:tcW w:w="1093" w:type="dxa"/>
            <w:vAlign w:val="center"/>
          </w:tcPr>
          <w:p w14:paraId="71F1DD69" w14:textId="3B4E1223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94 248,0</w:t>
            </w:r>
          </w:p>
        </w:tc>
        <w:tc>
          <w:tcPr>
            <w:tcW w:w="1054" w:type="dxa"/>
            <w:vAlign w:val="center"/>
          </w:tcPr>
          <w:p w14:paraId="66C80066" w14:textId="6A528C87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102 314,0</w:t>
            </w:r>
          </w:p>
        </w:tc>
        <w:tc>
          <w:tcPr>
            <w:tcW w:w="781" w:type="dxa"/>
            <w:vAlign w:val="center"/>
          </w:tcPr>
          <w:p w14:paraId="21C4419E" w14:textId="2B05494B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108,6</w:t>
            </w:r>
          </w:p>
        </w:tc>
        <w:tc>
          <w:tcPr>
            <w:tcW w:w="1054" w:type="dxa"/>
            <w:vAlign w:val="center"/>
          </w:tcPr>
          <w:p w14:paraId="011607D8" w14:textId="3A7D3EAC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104 391,0</w:t>
            </w:r>
          </w:p>
        </w:tc>
        <w:tc>
          <w:tcPr>
            <w:tcW w:w="781" w:type="dxa"/>
            <w:vAlign w:val="center"/>
          </w:tcPr>
          <w:p w14:paraId="45379AD9" w14:textId="5C68C852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102,0</w:t>
            </w:r>
          </w:p>
        </w:tc>
        <w:tc>
          <w:tcPr>
            <w:tcW w:w="1054" w:type="dxa"/>
            <w:vAlign w:val="center"/>
          </w:tcPr>
          <w:p w14:paraId="013C4536" w14:textId="16F66F12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110 971,0</w:t>
            </w:r>
          </w:p>
        </w:tc>
        <w:tc>
          <w:tcPr>
            <w:tcW w:w="781" w:type="dxa"/>
            <w:vAlign w:val="center"/>
          </w:tcPr>
          <w:p w14:paraId="0037E769" w14:textId="10DAA72F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106,3</w:t>
            </w:r>
          </w:p>
        </w:tc>
      </w:tr>
      <w:tr w:rsidR="007C72B7" w14:paraId="2D21B99A" w14:textId="77777777" w:rsidTr="00A714AE">
        <w:tc>
          <w:tcPr>
            <w:tcW w:w="1880" w:type="dxa"/>
          </w:tcPr>
          <w:p w14:paraId="789E94B4" w14:textId="4218F796" w:rsidR="007C72B7" w:rsidRPr="007C72B7" w:rsidRDefault="00996848" w:rsidP="00A714A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  <w:r w:rsidR="007C72B7"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алоговые доходы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54" w:type="dxa"/>
            <w:vAlign w:val="center"/>
          </w:tcPr>
          <w:p w14:paraId="76BBBECA" w14:textId="77777777" w:rsidR="007C72B7" w:rsidRPr="007C72B7" w:rsidRDefault="007C72B7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85 393,3</w:t>
            </w:r>
          </w:p>
        </w:tc>
        <w:tc>
          <w:tcPr>
            <w:tcW w:w="1093" w:type="dxa"/>
            <w:vAlign w:val="center"/>
          </w:tcPr>
          <w:p w14:paraId="1B933FE6" w14:textId="0F6FC5A5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84 832,0</w:t>
            </w:r>
          </w:p>
        </w:tc>
        <w:tc>
          <w:tcPr>
            <w:tcW w:w="1054" w:type="dxa"/>
            <w:vAlign w:val="center"/>
          </w:tcPr>
          <w:p w14:paraId="7B071F69" w14:textId="42053D43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91 695,0</w:t>
            </w:r>
          </w:p>
        </w:tc>
        <w:tc>
          <w:tcPr>
            <w:tcW w:w="781" w:type="dxa"/>
            <w:vAlign w:val="center"/>
          </w:tcPr>
          <w:p w14:paraId="5B4CFC93" w14:textId="7C2DAB6E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108,1</w:t>
            </w:r>
          </w:p>
        </w:tc>
        <w:tc>
          <w:tcPr>
            <w:tcW w:w="1054" w:type="dxa"/>
            <w:vAlign w:val="center"/>
          </w:tcPr>
          <w:p w14:paraId="33826FF1" w14:textId="34613A08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97 787,0</w:t>
            </w:r>
          </w:p>
        </w:tc>
        <w:tc>
          <w:tcPr>
            <w:tcW w:w="781" w:type="dxa"/>
            <w:vAlign w:val="center"/>
          </w:tcPr>
          <w:p w14:paraId="2E0D308A" w14:textId="2DBA1446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14:paraId="4B0BFC9E" w14:textId="2EBBF998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104 316,0</w:t>
            </w:r>
          </w:p>
        </w:tc>
        <w:tc>
          <w:tcPr>
            <w:tcW w:w="781" w:type="dxa"/>
            <w:vAlign w:val="center"/>
          </w:tcPr>
          <w:p w14:paraId="25E7151D" w14:textId="5263BAE6" w:rsidR="007C72B7" w:rsidRPr="007C72B7" w:rsidRDefault="00420149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106,7</w:t>
            </w:r>
          </w:p>
        </w:tc>
      </w:tr>
      <w:tr w:rsidR="007C72B7" w14:paraId="57459328" w14:textId="77777777" w:rsidTr="00A714AE">
        <w:tc>
          <w:tcPr>
            <w:tcW w:w="1880" w:type="dxa"/>
          </w:tcPr>
          <w:p w14:paraId="247318DD" w14:textId="0B98A71E" w:rsidR="007C72B7" w:rsidRPr="00AA08C2" w:rsidRDefault="00996848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6E8D96B9" w14:textId="50562699" w:rsidR="007C72B7" w:rsidRPr="00AA08C2" w:rsidRDefault="00996848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73 192,5</w:t>
            </w:r>
          </w:p>
        </w:tc>
        <w:tc>
          <w:tcPr>
            <w:tcW w:w="1093" w:type="dxa"/>
            <w:vAlign w:val="center"/>
          </w:tcPr>
          <w:p w14:paraId="48DC3024" w14:textId="18B4D125" w:rsidR="007C72B7" w:rsidRPr="00AA08C2" w:rsidRDefault="00420149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73 278,0</w:t>
            </w:r>
          </w:p>
        </w:tc>
        <w:tc>
          <w:tcPr>
            <w:tcW w:w="1054" w:type="dxa"/>
            <w:vAlign w:val="center"/>
          </w:tcPr>
          <w:p w14:paraId="422FB583" w14:textId="77505AA6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80 413,0</w:t>
            </w:r>
          </w:p>
        </w:tc>
        <w:tc>
          <w:tcPr>
            <w:tcW w:w="781" w:type="dxa"/>
            <w:vAlign w:val="center"/>
          </w:tcPr>
          <w:p w14:paraId="3B5333AA" w14:textId="7B7764F5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109,7</w:t>
            </w:r>
          </w:p>
        </w:tc>
        <w:tc>
          <w:tcPr>
            <w:tcW w:w="1054" w:type="dxa"/>
            <w:vAlign w:val="center"/>
          </w:tcPr>
          <w:p w14:paraId="01F1C8C5" w14:textId="5E500D92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86 289,0</w:t>
            </w:r>
          </w:p>
        </w:tc>
        <w:tc>
          <w:tcPr>
            <w:tcW w:w="781" w:type="dxa"/>
            <w:vAlign w:val="center"/>
          </w:tcPr>
          <w:p w14:paraId="33AFD009" w14:textId="76F7B634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  <w:tc>
          <w:tcPr>
            <w:tcW w:w="1054" w:type="dxa"/>
            <w:vAlign w:val="center"/>
          </w:tcPr>
          <w:p w14:paraId="7ACCB206" w14:textId="2E1597C4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92585,0</w:t>
            </w:r>
          </w:p>
        </w:tc>
        <w:tc>
          <w:tcPr>
            <w:tcW w:w="781" w:type="dxa"/>
            <w:vAlign w:val="center"/>
          </w:tcPr>
          <w:p w14:paraId="19D68F56" w14:textId="4A324ADD" w:rsidR="007C72B7" w:rsidRPr="00AA08C2" w:rsidRDefault="00AA350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</w:tr>
      <w:tr w:rsidR="007C72B7" w14:paraId="3ABB0954" w14:textId="77777777" w:rsidTr="00A714AE">
        <w:tc>
          <w:tcPr>
            <w:tcW w:w="1880" w:type="dxa"/>
          </w:tcPr>
          <w:p w14:paraId="510AA491" w14:textId="0054CB56" w:rsidR="007C72B7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205825BF" w14:textId="4A0A811E" w:rsidR="007C72B7" w:rsidRPr="00996848" w:rsidRDefault="00996848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4 264,6</w:t>
            </w:r>
          </w:p>
        </w:tc>
        <w:tc>
          <w:tcPr>
            <w:tcW w:w="1093" w:type="dxa"/>
            <w:vAlign w:val="center"/>
          </w:tcPr>
          <w:p w14:paraId="70ACC668" w14:textId="198BD487" w:rsidR="007C72B7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5 432,0</w:t>
            </w:r>
          </w:p>
        </w:tc>
        <w:tc>
          <w:tcPr>
            <w:tcW w:w="1054" w:type="dxa"/>
            <w:vAlign w:val="center"/>
          </w:tcPr>
          <w:p w14:paraId="2F448290" w14:textId="1713D926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5 677,0</w:t>
            </w:r>
          </w:p>
        </w:tc>
        <w:tc>
          <w:tcPr>
            <w:tcW w:w="781" w:type="dxa"/>
            <w:vAlign w:val="center"/>
          </w:tcPr>
          <w:p w14:paraId="72518EAC" w14:textId="67FFF8B1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3DDB5DD0" w14:textId="6916CC23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5 632,0</w:t>
            </w:r>
          </w:p>
        </w:tc>
        <w:tc>
          <w:tcPr>
            <w:tcW w:w="781" w:type="dxa"/>
            <w:vAlign w:val="center"/>
          </w:tcPr>
          <w:p w14:paraId="23AABBD2" w14:textId="615DBA7C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054" w:type="dxa"/>
            <w:vAlign w:val="center"/>
          </w:tcPr>
          <w:p w14:paraId="67F43729" w14:textId="543BE73B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5 601,0</w:t>
            </w:r>
          </w:p>
        </w:tc>
        <w:tc>
          <w:tcPr>
            <w:tcW w:w="781" w:type="dxa"/>
            <w:vAlign w:val="center"/>
          </w:tcPr>
          <w:p w14:paraId="1EF511DD" w14:textId="2FCC0D31" w:rsidR="007C72B7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797CFF" w14:paraId="3F61E989" w14:textId="77777777" w:rsidTr="00A714AE">
        <w:tc>
          <w:tcPr>
            <w:tcW w:w="1880" w:type="dxa"/>
          </w:tcPr>
          <w:p w14:paraId="3BEF86F6" w14:textId="0CE09C7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6F1962CE" w14:textId="65EDB770" w:rsidR="00797CFF" w:rsidRPr="00996848" w:rsidRDefault="00996848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6 515,5</w:t>
            </w:r>
          </w:p>
        </w:tc>
        <w:tc>
          <w:tcPr>
            <w:tcW w:w="1093" w:type="dxa"/>
            <w:vAlign w:val="center"/>
          </w:tcPr>
          <w:p w14:paraId="3BF07811" w14:textId="37E869FC" w:rsidR="00797CFF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4 922,0</w:t>
            </w:r>
          </w:p>
        </w:tc>
        <w:tc>
          <w:tcPr>
            <w:tcW w:w="1054" w:type="dxa"/>
            <w:vAlign w:val="center"/>
          </w:tcPr>
          <w:p w14:paraId="133AE824" w14:textId="60072971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3 840,0</w:t>
            </w:r>
          </w:p>
        </w:tc>
        <w:tc>
          <w:tcPr>
            <w:tcW w:w="781" w:type="dxa"/>
            <w:vAlign w:val="center"/>
          </w:tcPr>
          <w:p w14:paraId="55E856E3" w14:textId="2CA62DB3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054" w:type="dxa"/>
            <w:vAlign w:val="center"/>
          </w:tcPr>
          <w:p w14:paraId="4D5A29F1" w14:textId="618D3FE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4 106,0</w:t>
            </w:r>
          </w:p>
        </w:tc>
        <w:tc>
          <w:tcPr>
            <w:tcW w:w="781" w:type="dxa"/>
            <w:vAlign w:val="center"/>
          </w:tcPr>
          <w:p w14:paraId="1707D679" w14:textId="4434766F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106,9</w:t>
            </w:r>
          </w:p>
        </w:tc>
        <w:tc>
          <w:tcPr>
            <w:tcW w:w="1054" w:type="dxa"/>
            <w:vAlign w:val="center"/>
          </w:tcPr>
          <w:p w14:paraId="22BBA438" w14:textId="445DFC87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4 355,0</w:t>
            </w:r>
          </w:p>
        </w:tc>
        <w:tc>
          <w:tcPr>
            <w:tcW w:w="781" w:type="dxa"/>
            <w:vAlign w:val="center"/>
          </w:tcPr>
          <w:p w14:paraId="1397BE08" w14:textId="50DECDD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106,1</w:t>
            </w:r>
          </w:p>
        </w:tc>
      </w:tr>
      <w:tr w:rsidR="00797CFF" w14:paraId="062A550C" w14:textId="77777777" w:rsidTr="00A714AE">
        <w:tc>
          <w:tcPr>
            <w:tcW w:w="1880" w:type="dxa"/>
          </w:tcPr>
          <w:p w14:paraId="58A15514" w14:textId="07EB3C3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4049CDBC" w14:textId="4536EFEC" w:rsidR="00797CFF" w:rsidRPr="00996848" w:rsidRDefault="007A38FE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1 420,7</w:t>
            </w:r>
          </w:p>
        </w:tc>
        <w:tc>
          <w:tcPr>
            <w:tcW w:w="1093" w:type="dxa"/>
            <w:vAlign w:val="center"/>
          </w:tcPr>
          <w:p w14:paraId="6A668D98" w14:textId="49C00913" w:rsidR="00797CFF" w:rsidRPr="00996848" w:rsidRDefault="00420149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1 200,0</w:t>
            </w:r>
          </w:p>
        </w:tc>
        <w:tc>
          <w:tcPr>
            <w:tcW w:w="1054" w:type="dxa"/>
            <w:vAlign w:val="center"/>
          </w:tcPr>
          <w:p w14:paraId="7B52FA6C" w14:textId="7267DC0D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1 765,0</w:t>
            </w:r>
          </w:p>
        </w:tc>
        <w:tc>
          <w:tcPr>
            <w:tcW w:w="781" w:type="dxa"/>
            <w:vAlign w:val="center"/>
          </w:tcPr>
          <w:p w14:paraId="395E0B41" w14:textId="66A94FB2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147,1</w:t>
            </w:r>
          </w:p>
        </w:tc>
        <w:tc>
          <w:tcPr>
            <w:tcW w:w="1054" w:type="dxa"/>
            <w:vAlign w:val="center"/>
          </w:tcPr>
          <w:p w14:paraId="67E28691" w14:textId="2098CFC8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1 760,0</w:t>
            </w:r>
          </w:p>
        </w:tc>
        <w:tc>
          <w:tcPr>
            <w:tcW w:w="781" w:type="dxa"/>
            <w:vAlign w:val="center"/>
          </w:tcPr>
          <w:p w14:paraId="78514D3A" w14:textId="087F42D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1054" w:type="dxa"/>
            <w:vAlign w:val="center"/>
          </w:tcPr>
          <w:p w14:paraId="620CA121" w14:textId="50EC82FD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1 775,0</w:t>
            </w:r>
          </w:p>
        </w:tc>
        <w:tc>
          <w:tcPr>
            <w:tcW w:w="781" w:type="dxa"/>
            <w:vAlign w:val="center"/>
          </w:tcPr>
          <w:p w14:paraId="198E60F5" w14:textId="5CB12B1A" w:rsidR="00797CFF" w:rsidRPr="00996848" w:rsidRDefault="00265BEB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100,9</w:t>
            </w:r>
          </w:p>
        </w:tc>
      </w:tr>
    </w:tbl>
    <w:p w14:paraId="2682CB62" w14:textId="0B8A35A8" w:rsidR="007C72B7" w:rsidRDefault="00A85467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>Как видно из данных таблицы в анализируемом периоде 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2EFC5628" w14:textId="20BDEA29" w:rsidR="00C272E8" w:rsidRPr="00FE5BC1" w:rsidRDefault="00C272E8" w:rsidP="00C2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312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1093">
        <w:rPr>
          <w:rFonts w:ascii="Times New Roman" w:hAnsi="Times New Roman" w:cs="Times New Roman"/>
          <w:sz w:val="28"/>
          <w:szCs w:val="28"/>
        </w:rPr>
        <w:t>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B91093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6"/>
        <w:gridCol w:w="1527"/>
        <w:gridCol w:w="1394"/>
        <w:gridCol w:w="1527"/>
        <w:gridCol w:w="1360"/>
      </w:tblGrid>
      <w:tr w:rsidR="00C272E8" w14:paraId="5F99E670" w14:textId="77777777" w:rsidTr="00A714AE">
        <w:tc>
          <w:tcPr>
            <w:tcW w:w="3652" w:type="dxa"/>
            <w:vMerge w:val="restart"/>
            <w:vAlign w:val="center"/>
          </w:tcPr>
          <w:p w14:paraId="2181FE3F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0375D4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C0FAD" w14:textId="6E644325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D82022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272E8" w14:paraId="790CB0D2" w14:textId="77777777" w:rsidTr="00A714AE">
        <w:tc>
          <w:tcPr>
            <w:tcW w:w="3652" w:type="dxa"/>
            <w:vMerge/>
            <w:vAlign w:val="center"/>
          </w:tcPr>
          <w:p w14:paraId="2E2A4715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6F5B5C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4BD2F6" w14:textId="5EC53BEE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E8F344" w14:textId="3D7217D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1C977FC" w14:textId="4A60D738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72E8" w14:paraId="731B070A" w14:textId="77777777" w:rsidTr="00A714AE">
        <w:tc>
          <w:tcPr>
            <w:tcW w:w="3652" w:type="dxa"/>
            <w:vAlign w:val="center"/>
          </w:tcPr>
          <w:p w14:paraId="76E863EB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4C4E237C" w14:textId="5CB1B687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73278,0</w:t>
            </w:r>
          </w:p>
        </w:tc>
        <w:tc>
          <w:tcPr>
            <w:tcW w:w="1418" w:type="dxa"/>
            <w:vAlign w:val="center"/>
          </w:tcPr>
          <w:p w14:paraId="6CB42249" w14:textId="16D59849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80413,0</w:t>
            </w:r>
          </w:p>
        </w:tc>
        <w:tc>
          <w:tcPr>
            <w:tcW w:w="1559" w:type="dxa"/>
            <w:vAlign w:val="center"/>
          </w:tcPr>
          <w:p w14:paraId="55944D58" w14:textId="1F587A9A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86289,0</w:t>
            </w:r>
          </w:p>
        </w:tc>
        <w:tc>
          <w:tcPr>
            <w:tcW w:w="1382" w:type="dxa"/>
            <w:vAlign w:val="center"/>
          </w:tcPr>
          <w:p w14:paraId="35680881" w14:textId="56E08894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92585,0</w:t>
            </w:r>
          </w:p>
        </w:tc>
      </w:tr>
      <w:tr w:rsidR="00C272E8" w14:paraId="356AC71D" w14:textId="77777777" w:rsidTr="00A714AE">
        <w:tc>
          <w:tcPr>
            <w:tcW w:w="3652" w:type="dxa"/>
            <w:vAlign w:val="center"/>
          </w:tcPr>
          <w:p w14:paraId="6EEA0417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2ABD121" w14:textId="3530C311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  <w:vAlign w:val="center"/>
          </w:tcPr>
          <w:p w14:paraId="3482B2AF" w14:textId="78DA2B7F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vAlign w:val="center"/>
          </w:tcPr>
          <w:p w14:paraId="150DB94C" w14:textId="4C777AB7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382" w:type="dxa"/>
            <w:vAlign w:val="center"/>
          </w:tcPr>
          <w:p w14:paraId="4A8A444B" w14:textId="74067EB1" w:rsidR="00C272E8" w:rsidRPr="0063239D" w:rsidRDefault="008F11B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</w:tr>
      <w:tr w:rsidR="00C272E8" w14:paraId="3764F535" w14:textId="77777777" w:rsidTr="00A714AE">
        <w:tc>
          <w:tcPr>
            <w:tcW w:w="3652" w:type="dxa"/>
            <w:vAlign w:val="center"/>
          </w:tcPr>
          <w:p w14:paraId="5C658384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D7352F1" w14:textId="2E50764E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vAlign w:val="center"/>
          </w:tcPr>
          <w:p w14:paraId="0C41C849" w14:textId="0F2F0A81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7135,0</w:t>
            </w:r>
          </w:p>
        </w:tc>
        <w:tc>
          <w:tcPr>
            <w:tcW w:w="1559" w:type="dxa"/>
            <w:vAlign w:val="center"/>
          </w:tcPr>
          <w:p w14:paraId="52AD5F1A" w14:textId="55A8D156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5876,0</w:t>
            </w:r>
          </w:p>
        </w:tc>
        <w:tc>
          <w:tcPr>
            <w:tcW w:w="1382" w:type="dxa"/>
            <w:vAlign w:val="center"/>
          </w:tcPr>
          <w:p w14:paraId="60264654" w14:textId="717AFF7C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6296,0</w:t>
            </w:r>
          </w:p>
        </w:tc>
      </w:tr>
      <w:tr w:rsidR="00C272E8" w14:paraId="36569E3E" w14:textId="77777777" w:rsidTr="00A714AE">
        <w:tc>
          <w:tcPr>
            <w:tcW w:w="3652" w:type="dxa"/>
            <w:vAlign w:val="center"/>
          </w:tcPr>
          <w:p w14:paraId="371FD349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F979F9" w14:textId="4F9F45ED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18" w:type="dxa"/>
            <w:vAlign w:val="center"/>
          </w:tcPr>
          <w:p w14:paraId="2FC93939" w14:textId="43872CF2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59" w:type="dxa"/>
            <w:vAlign w:val="center"/>
          </w:tcPr>
          <w:p w14:paraId="55A50B89" w14:textId="5BCAE0FB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vAlign w:val="center"/>
          </w:tcPr>
          <w:p w14:paraId="37B859B7" w14:textId="2A6C00C9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C272E8" w14:paraId="2243D905" w14:textId="77777777" w:rsidTr="00A714AE">
        <w:tc>
          <w:tcPr>
            <w:tcW w:w="3652" w:type="dxa"/>
            <w:vAlign w:val="center"/>
          </w:tcPr>
          <w:p w14:paraId="3401856B" w14:textId="608659B8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C3D0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682BFE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C6C8C1B" w14:textId="7D3252B1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59" w:type="dxa"/>
            <w:vAlign w:val="center"/>
          </w:tcPr>
          <w:p w14:paraId="1B47EA09" w14:textId="473D639A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382" w:type="dxa"/>
            <w:vAlign w:val="center"/>
          </w:tcPr>
          <w:p w14:paraId="30EA296C" w14:textId="158D4A76" w:rsidR="00C272E8" w:rsidRPr="0063239D" w:rsidRDefault="000C3D0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126,3</w:t>
            </w:r>
          </w:p>
        </w:tc>
      </w:tr>
    </w:tbl>
    <w:p w14:paraId="1FE964EB" w14:textId="64B1DAA9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BD67DA">
        <w:rPr>
          <w:rFonts w:ascii="Times New Roman" w:hAnsi="Times New Roman" w:cs="Times New Roman"/>
          <w:sz w:val="28"/>
          <w:szCs w:val="28"/>
        </w:rPr>
        <w:t>80413,0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10</w:t>
      </w:r>
      <w:r w:rsidR="00BD67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BD67DA">
        <w:rPr>
          <w:rFonts w:ascii="Times New Roman" w:hAnsi="Times New Roman" w:cs="Times New Roman"/>
          <w:sz w:val="28"/>
          <w:szCs w:val="28"/>
        </w:rPr>
        <w:t>86289,0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BD67DA">
        <w:rPr>
          <w:rFonts w:ascii="Times New Roman" w:hAnsi="Times New Roman" w:cs="Times New Roman"/>
          <w:sz w:val="28"/>
          <w:szCs w:val="28"/>
        </w:rPr>
        <w:t>92585,0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BD67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BD67D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67DA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D67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7D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5A8FCBB5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9F6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88,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1264B0FF" w14:textId="383BF9D4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 w:rsidRPr="00D2427D">
        <w:rPr>
          <w:rFonts w:ascii="Times New Roman" w:hAnsi="Times New Roman" w:cs="Times New Roman"/>
          <w:sz w:val="28"/>
          <w:szCs w:val="28"/>
        </w:rPr>
        <w:t>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согласно приложения № </w:t>
      </w:r>
      <w:r w:rsidR="00C52C97">
        <w:rPr>
          <w:rFonts w:ascii="Times New Roman" w:hAnsi="Times New Roman" w:cs="Times New Roman"/>
          <w:sz w:val="28"/>
          <w:szCs w:val="28"/>
        </w:rPr>
        <w:t>8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C52C97">
        <w:rPr>
          <w:rFonts w:ascii="Times New Roman" w:hAnsi="Times New Roman" w:cs="Times New Roman"/>
          <w:sz w:val="28"/>
          <w:szCs w:val="28"/>
        </w:rPr>
        <w:t>2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2C97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C52C97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830D791" w14:textId="4683247F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акцизов на </w:t>
      </w:r>
      <w:r w:rsidR="00AE4A13">
        <w:rPr>
          <w:rFonts w:ascii="Times New Roman" w:hAnsi="Times New Roman" w:cs="Times New Roman"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E93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B91093" w14:paraId="4B19C1A2" w14:textId="77777777" w:rsidTr="00B07FA7">
        <w:tc>
          <w:tcPr>
            <w:tcW w:w="3555" w:type="dxa"/>
            <w:vMerge w:val="restart"/>
            <w:vAlign w:val="center"/>
          </w:tcPr>
          <w:p w14:paraId="74CAAA7E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DFB954B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9B18EA" w14:textId="5E3CB7B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7417AB7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1093" w14:paraId="475BBB08" w14:textId="77777777" w:rsidTr="00B07FA7">
        <w:tc>
          <w:tcPr>
            <w:tcW w:w="3555" w:type="dxa"/>
            <w:vMerge/>
            <w:vAlign w:val="center"/>
          </w:tcPr>
          <w:p w14:paraId="36262FC1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7202D90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24CBA2E" w14:textId="50325270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048F726C" w14:textId="29532DD1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0E254884" w14:textId="7413FC6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1093" w14:paraId="1B3DCEA5" w14:textId="77777777" w:rsidTr="00B07FA7">
        <w:tc>
          <w:tcPr>
            <w:tcW w:w="3555" w:type="dxa"/>
            <w:vAlign w:val="center"/>
          </w:tcPr>
          <w:p w14:paraId="2522FBE6" w14:textId="636A879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Акцизы на </w:t>
            </w:r>
            <w:r w:rsidR="00AE4A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1526" w:type="dxa"/>
            <w:vAlign w:val="center"/>
          </w:tcPr>
          <w:p w14:paraId="4A265FCD" w14:textId="7C6D80A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5432,0</w:t>
            </w:r>
          </w:p>
        </w:tc>
        <w:tc>
          <w:tcPr>
            <w:tcW w:w="1388" w:type="dxa"/>
            <w:vAlign w:val="center"/>
          </w:tcPr>
          <w:p w14:paraId="3D360C9F" w14:textId="37F7D6D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5677,0</w:t>
            </w:r>
          </w:p>
        </w:tc>
        <w:tc>
          <w:tcPr>
            <w:tcW w:w="1521" w:type="dxa"/>
            <w:vAlign w:val="center"/>
          </w:tcPr>
          <w:p w14:paraId="5D8EFEBC" w14:textId="63D1FF7D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5632,0</w:t>
            </w:r>
          </w:p>
        </w:tc>
        <w:tc>
          <w:tcPr>
            <w:tcW w:w="1354" w:type="dxa"/>
            <w:vAlign w:val="center"/>
          </w:tcPr>
          <w:p w14:paraId="51CF5D5E" w14:textId="39C9B2DC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5601,0</w:t>
            </w:r>
          </w:p>
        </w:tc>
      </w:tr>
      <w:tr w:rsidR="00B91093" w14:paraId="25059598" w14:textId="77777777" w:rsidTr="00B07FA7">
        <w:tc>
          <w:tcPr>
            <w:tcW w:w="3555" w:type="dxa"/>
            <w:vAlign w:val="center"/>
          </w:tcPr>
          <w:p w14:paraId="2D2D4E35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3E1E1EEC" w14:textId="6D305407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88" w:type="dxa"/>
            <w:vAlign w:val="center"/>
          </w:tcPr>
          <w:p w14:paraId="24950B25" w14:textId="7E0B64F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21" w:type="dxa"/>
            <w:vAlign w:val="center"/>
          </w:tcPr>
          <w:p w14:paraId="04D941E4" w14:textId="0AC7B8F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54" w:type="dxa"/>
            <w:vAlign w:val="center"/>
          </w:tcPr>
          <w:p w14:paraId="1DC18B31" w14:textId="20F9C339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</w:tr>
      <w:tr w:rsidR="00B91093" w14:paraId="4DD79080" w14:textId="77777777" w:rsidTr="00B07FA7">
        <w:tc>
          <w:tcPr>
            <w:tcW w:w="3555" w:type="dxa"/>
            <w:vAlign w:val="center"/>
          </w:tcPr>
          <w:p w14:paraId="6248A3EF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17C5FF1D" w14:textId="2D196BCB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1167,4</w:t>
            </w:r>
          </w:p>
        </w:tc>
        <w:tc>
          <w:tcPr>
            <w:tcW w:w="1388" w:type="dxa"/>
            <w:vAlign w:val="center"/>
          </w:tcPr>
          <w:p w14:paraId="21D8B59B" w14:textId="7E435BC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521" w:type="dxa"/>
            <w:vAlign w:val="center"/>
          </w:tcPr>
          <w:p w14:paraId="11BBCC62" w14:textId="2113882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-45,0</w:t>
            </w:r>
          </w:p>
        </w:tc>
        <w:tc>
          <w:tcPr>
            <w:tcW w:w="1354" w:type="dxa"/>
            <w:vAlign w:val="center"/>
          </w:tcPr>
          <w:p w14:paraId="6C9C939B" w14:textId="5B3A5623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-31,0</w:t>
            </w:r>
          </w:p>
        </w:tc>
      </w:tr>
      <w:tr w:rsidR="00B91093" w14:paraId="110B44DF" w14:textId="77777777" w:rsidTr="00B07FA7">
        <w:tc>
          <w:tcPr>
            <w:tcW w:w="3555" w:type="dxa"/>
            <w:vAlign w:val="center"/>
          </w:tcPr>
          <w:p w14:paraId="61CF6D9E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6DAD2E8C" w14:textId="70DA3786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388" w:type="dxa"/>
            <w:vAlign w:val="center"/>
          </w:tcPr>
          <w:p w14:paraId="27DF9D22" w14:textId="43138F69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21" w:type="dxa"/>
            <w:vAlign w:val="center"/>
          </w:tcPr>
          <w:p w14:paraId="489BE6F6" w14:textId="602B635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54" w:type="dxa"/>
            <w:vAlign w:val="center"/>
          </w:tcPr>
          <w:p w14:paraId="1FF83B65" w14:textId="50827DFE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99,4</w:t>
            </w:r>
          </w:p>
        </w:tc>
      </w:tr>
      <w:tr w:rsidR="00B91093" w14:paraId="48700908" w14:textId="77777777" w:rsidTr="00B07FA7">
        <w:tc>
          <w:tcPr>
            <w:tcW w:w="3555" w:type="dxa"/>
            <w:vAlign w:val="center"/>
          </w:tcPr>
          <w:p w14:paraId="785DD4CF" w14:textId="067D13A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42B9F313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72AEECB3" w14:textId="1F1D2E8F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21" w:type="dxa"/>
            <w:vAlign w:val="center"/>
          </w:tcPr>
          <w:p w14:paraId="3BBB9633" w14:textId="16C95EF7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354" w:type="dxa"/>
            <w:vAlign w:val="center"/>
          </w:tcPr>
          <w:p w14:paraId="267DF014" w14:textId="7EBF0DD8" w:rsidR="00B91093" w:rsidRPr="0063239D" w:rsidRDefault="00AE4A1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14:paraId="322B7129" w14:textId="17930BAD" w:rsidR="00B07FA7" w:rsidRPr="00B07FA7" w:rsidRDefault="00B07FA7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A7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10%. Собираемость акцизов на нефтепродукты прогнозируется в размере 100 %.</w:t>
      </w:r>
    </w:p>
    <w:p w14:paraId="5063382F" w14:textId="7AB94F7D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5">
        <w:rPr>
          <w:rFonts w:ascii="Times New Roman" w:hAnsi="Times New Roman" w:cs="Times New Roman"/>
          <w:sz w:val="28"/>
          <w:szCs w:val="28"/>
        </w:rPr>
        <w:t>Поступление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0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C30D6">
        <w:rPr>
          <w:rFonts w:ascii="Times New Roman" w:hAnsi="Times New Roman" w:cs="Times New Roman"/>
          <w:sz w:val="28"/>
          <w:szCs w:val="28"/>
        </w:rPr>
        <w:t>5677,0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C30D6">
        <w:rPr>
          <w:rFonts w:ascii="Times New Roman" w:hAnsi="Times New Roman" w:cs="Times New Roman"/>
          <w:sz w:val="28"/>
          <w:szCs w:val="28"/>
        </w:rPr>
        <w:t>245,0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0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30D6">
        <w:rPr>
          <w:rFonts w:ascii="Times New Roman" w:hAnsi="Times New Roman" w:cs="Times New Roman"/>
          <w:sz w:val="28"/>
          <w:szCs w:val="28"/>
        </w:rPr>
        <w:t>04,5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0C30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30D6">
        <w:rPr>
          <w:rFonts w:ascii="Times New Roman" w:hAnsi="Times New Roman" w:cs="Times New Roman"/>
          <w:sz w:val="28"/>
          <w:szCs w:val="28"/>
        </w:rPr>
        <w:t>5632,0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C30D6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0C30D6">
        <w:rPr>
          <w:rFonts w:ascii="Times New Roman" w:hAnsi="Times New Roman" w:cs="Times New Roman"/>
          <w:sz w:val="28"/>
          <w:szCs w:val="28"/>
        </w:rPr>
        <w:t>5601,0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 w:rsidR="000C30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30D6">
        <w:rPr>
          <w:rFonts w:ascii="Times New Roman" w:hAnsi="Times New Roman" w:cs="Times New Roman"/>
          <w:sz w:val="28"/>
          <w:szCs w:val="28"/>
        </w:rPr>
        <w:t>04,5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C30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C30D6">
        <w:rPr>
          <w:rFonts w:ascii="Times New Roman" w:hAnsi="Times New Roman" w:cs="Times New Roman"/>
          <w:sz w:val="28"/>
          <w:szCs w:val="28"/>
        </w:rPr>
        <w:t>99,2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C30D6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0D6">
        <w:rPr>
          <w:rFonts w:ascii="Times New Roman" w:hAnsi="Times New Roman" w:cs="Times New Roman"/>
          <w:sz w:val="28"/>
          <w:szCs w:val="28"/>
        </w:rPr>
        <w:t>99,4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780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6780">
        <w:rPr>
          <w:rFonts w:ascii="Times New Roman" w:hAnsi="Times New Roman" w:cs="Times New Roman"/>
          <w:sz w:val="28"/>
          <w:szCs w:val="28"/>
        </w:rPr>
        <w:t>3 году 5,8%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5C6780">
        <w:rPr>
          <w:rFonts w:ascii="Times New Roman" w:hAnsi="Times New Roman" w:cs="Times New Roman"/>
          <w:sz w:val="28"/>
          <w:szCs w:val="28"/>
        </w:rPr>
        <w:t>4 -</w:t>
      </w:r>
      <w:r>
        <w:rPr>
          <w:rFonts w:ascii="Times New Roman" w:hAnsi="Times New Roman" w:cs="Times New Roman"/>
          <w:sz w:val="28"/>
          <w:szCs w:val="28"/>
        </w:rPr>
        <w:t xml:space="preserve"> 5,</w:t>
      </w:r>
      <w:r w:rsidR="005C6780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96F30EE" w14:textId="1DDA9E89" w:rsidR="00B91093" w:rsidRDefault="00B91093" w:rsidP="00B9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приложению  к проекту </w:t>
      </w:r>
      <w:r w:rsidRPr="0031071A">
        <w:rPr>
          <w:rFonts w:ascii="Times New Roman" w:hAnsi="Times New Roman" w:cs="Times New Roman"/>
          <w:sz w:val="28"/>
          <w:szCs w:val="28"/>
        </w:rPr>
        <w:lastRenderedPageBreak/>
        <w:t>Закона Брянской области «Об областном бюджете на 202</w:t>
      </w:r>
      <w:r w:rsidR="00A304D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A304D0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A304D0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34B">
        <w:rPr>
          <w:rFonts w:ascii="Times New Roman" w:hAnsi="Times New Roman" w:cs="Times New Roman"/>
          <w:sz w:val="28"/>
          <w:szCs w:val="28"/>
        </w:rPr>
        <w:t>58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</w:p>
    <w:p w14:paraId="1127992D" w14:textId="0264CCA8" w:rsidR="006425BC" w:rsidRDefault="006425BC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3840,0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1082,0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4106,0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 xml:space="preserve">4355,0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78,0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106,9</w:t>
      </w:r>
      <w:r w:rsidRPr="00501B65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106,1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1B65">
        <w:rPr>
          <w:rFonts w:ascii="Times New Roman" w:hAnsi="Times New Roman" w:cs="Times New Roman"/>
          <w:sz w:val="28"/>
          <w:szCs w:val="28"/>
        </w:rPr>
        <w:t xml:space="preserve">долю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501B6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- 4,2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3 году – 4,2%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 – 4,2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E6A341" w14:textId="53FC88A4" w:rsidR="00482282" w:rsidRPr="0046737F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14:paraId="6211BD11" w14:textId="66C19920" w:rsidR="00482282" w:rsidRDefault="00482282" w:rsidP="0048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6F6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440E3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1518"/>
        <w:gridCol w:w="1380"/>
        <w:gridCol w:w="1511"/>
        <w:gridCol w:w="1347"/>
      </w:tblGrid>
      <w:tr w:rsidR="00482282" w14:paraId="65A0A419" w14:textId="77777777" w:rsidTr="00A714AE">
        <w:tc>
          <w:tcPr>
            <w:tcW w:w="3652" w:type="dxa"/>
            <w:vMerge w:val="restart"/>
            <w:vAlign w:val="center"/>
          </w:tcPr>
          <w:p w14:paraId="5D8F27D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7F7535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64434D3" w14:textId="79967DE9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41AB59C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82282" w14:paraId="7D555482" w14:textId="77777777" w:rsidTr="00A714AE">
        <w:tc>
          <w:tcPr>
            <w:tcW w:w="3652" w:type="dxa"/>
            <w:vMerge/>
            <w:vAlign w:val="center"/>
          </w:tcPr>
          <w:p w14:paraId="5EC44DB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BE732C3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933A48" w14:textId="6B9D4AC5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E2FB506" w14:textId="1876DC0D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7406AFD" w14:textId="35D21FD0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440E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282" w14:paraId="2C2E6DAA" w14:textId="77777777" w:rsidTr="00A714AE">
        <w:tc>
          <w:tcPr>
            <w:tcW w:w="3652" w:type="dxa"/>
            <w:vAlign w:val="center"/>
          </w:tcPr>
          <w:p w14:paraId="4D97EEF2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58B68D29" w14:textId="5C3FB6AE" w:rsidR="00482282" w:rsidRPr="0063239D" w:rsidRDefault="00EE2D1B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1418" w:type="dxa"/>
            <w:vAlign w:val="center"/>
          </w:tcPr>
          <w:p w14:paraId="6E52302A" w14:textId="750CDC58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1484,0</w:t>
            </w:r>
          </w:p>
        </w:tc>
        <w:tc>
          <w:tcPr>
            <w:tcW w:w="1559" w:type="dxa"/>
            <w:vAlign w:val="center"/>
          </w:tcPr>
          <w:p w14:paraId="620EA607" w14:textId="10E3BD4E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1587,0</w:t>
            </w:r>
          </w:p>
        </w:tc>
        <w:tc>
          <w:tcPr>
            <w:tcW w:w="1382" w:type="dxa"/>
            <w:vAlign w:val="center"/>
          </w:tcPr>
          <w:p w14:paraId="67045499" w14:textId="46A760E8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1660,0</w:t>
            </w:r>
          </w:p>
        </w:tc>
      </w:tr>
      <w:tr w:rsidR="00482282" w14:paraId="7F107636" w14:textId="77777777" w:rsidTr="00A714AE">
        <w:tc>
          <w:tcPr>
            <w:tcW w:w="3652" w:type="dxa"/>
            <w:vAlign w:val="center"/>
          </w:tcPr>
          <w:p w14:paraId="0C31E4CF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12388B3" w14:textId="67968B4E" w:rsidR="00482282" w:rsidRPr="0063239D" w:rsidRDefault="001A25D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14:paraId="7B40415F" w14:textId="0B21BE9F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center"/>
          </w:tcPr>
          <w:p w14:paraId="6B18CD93" w14:textId="21869450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2" w:type="dxa"/>
            <w:vAlign w:val="center"/>
          </w:tcPr>
          <w:p w14:paraId="3193682E" w14:textId="614AC1D6" w:rsidR="00482282" w:rsidRPr="0063239D" w:rsidRDefault="003709E9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1,6</w:t>
            </w:r>
          </w:p>
        </w:tc>
      </w:tr>
      <w:tr w:rsidR="00482282" w14:paraId="755AFA36" w14:textId="77777777" w:rsidTr="00A714AE">
        <w:tc>
          <w:tcPr>
            <w:tcW w:w="3652" w:type="dxa"/>
            <w:vAlign w:val="center"/>
          </w:tcPr>
          <w:p w14:paraId="3593FD17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9611E6C" w14:textId="4B535AB9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623,3</w:t>
            </w:r>
          </w:p>
        </w:tc>
        <w:tc>
          <w:tcPr>
            <w:tcW w:w="1418" w:type="dxa"/>
            <w:vAlign w:val="center"/>
          </w:tcPr>
          <w:p w14:paraId="6DD8B826" w14:textId="4B8DE652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-216,0</w:t>
            </w:r>
          </w:p>
        </w:tc>
        <w:tc>
          <w:tcPr>
            <w:tcW w:w="1559" w:type="dxa"/>
            <w:vAlign w:val="center"/>
          </w:tcPr>
          <w:p w14:paraId="2E1D7C5F" w14:textId="64C36405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382" w:type="dxa"/>
            <w:vAlign w:val="center"/>
          </w:tcPr>
          <w:p w14:paraId="3C391803" w14:textId="188F9F98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73,0</w:t>
            </w:r>
          </w:p>
        </w:tc>
      </w:tr>
      <w:tr w:rsidR="00482282" w14:paraId="136764C6" w14:textId="77777777" w:rsidTr="00A714AE">
        <w:tc>
          <w:tcPr>
            <w:tcW w:w="3652" w:type="dxa"/>
            <w:vAlign w:val="center"/>
          </w:tcPr>
          <w:p w14:paraId="3E3DE2A0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72BFB73" w14:textId="2F9E9D64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8" w:type="dxa"/>
            <w:vAlign w:val="center"/>
          </w:tcPr>
          <w:p w14:paraId="1D5A5720" w14:textId="73022439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  <w:vAlign w:val="center"/>
          </w:tcPr>
          <w:p w14:paraId="2DCD3321" w14:textId="42CF034C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382" w:type="dxa"/>
            <w:vAlign w:val="center"/>
          </w:tcPr>
          <w:p w14:paraId="342F3DEC" w14:textId="3B15B534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482282" w14:paraId="22A7A26A" w14:textId="77777777" w:rsidTr="00A714AE">
        <w:tc>
          <w:tcPr>
            <w:tcW w:w="3652" w:type="dxa"/>
            <w:vAlign w:val="center"/>
          </w:tcPr>
          <w:p w14:paraId="0091B1D6" w14:textId="129DD2BF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D36A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060112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07F81D4" w14:textId="0DF87D6D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59" w:type="dxa"/>
            <w:vAlign w:val="center"/>
          </w:tcPr>
          <w:p w14:paraId="26A473EA" w14:textId="21F915CE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382" w:type="dxa"/>
            <w:vAlign w:val="center"/>
          </w:tcPr>
          <w:p w14:paraId="0DFF9FF1" w14:textId="6FA5D5DF" w:rsidR="00482282" w:rsidRPr="0063239D" w:rsidRDefault="00FD36A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</w:tr>
    </w:tbl>
    <w:p w14:paraId="0CB95C61" w14:textId="045AB09E" w:rsidR="00482282" w:rsidRPr="001F7719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137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21376">
        <w:rPr>
          <w:rFonts w:ascii="Times New Roman" w:hAnsi="Times New Roman" w:cs="Times New Roman"/>
          <w:sz w:val="28"/>
          <w:szCs w:val="28"/>
        </w:rPr>
        <w:t>1484,0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21376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1376">
        <w:rPr>
          <w:rFonts w:ascii="Times New Roman" w:hAnsi="Times New Roman" w:cs="Times New Roman"/>
          <w:sz w:val="28"/>
          <w:szCs w:val="28"/>
        </w:rPr>
        <w:t>12,7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137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21376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82137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2137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537E1F">
        <w:rPr>
          <w:rFonts w:ascii="Times New Roman" w:hAnsi="Times New Roman" w:cs="Times New Roman"/>
          <w:sz w:val="28"/>
          <w:szCs w:val="28"/>
        </w:rPr>
        <w:t>1587,0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37E1F">
        <w:rPr>
          <w:rFonts w:ascii="Times New Roman" w:hAnsi="Times New Roman" w:cs="Times New Roman"/>
          <w:sz w:val="28"/>
          <w:szCs w:val="28"/>
        </w:rPr>
        <w:t>1660,0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537E1F">
        <w:rPr>
          <w:rFonts w:ascii="Times New Roman" w:hAnsi="Times New Roman" w:cs="Times New Roman"/>
          <w:sz w:val="28"/>
          <w:szCs w:val="28"/>
        </w:rPr>
        <w:t>106,9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537E1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104,</w:t>
      </w:r>
      <w:r w:rsidR="00537E1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537E1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7E1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537E1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37E1F">
        <w:rPr>
          <w:rFonts w:ascii="Times New Roman" w:hAnsi="Times New Roman" w:cs="Times New Roman"/>
          <w:sz w:val="28"/>
          <w:szCs w:val="28"/>
        </w:rPr>
        <w:t>97,6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CB48042" w14:textId="55B04E39" w:rsidR="00482282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Динамика доходов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взимаемых в связи с применением патентной системы налогообложения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6F6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08FA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1525"/>
        <w:gridCol w:w="1386"/>
        <w:gridCol w:w="1519"/>
        <w:gridCol w:w="1352"/>
      </w:tblGrid>
      <w:tr w:rsidR="00482282" w14:paraId="75D4CB3D" w14:textId="77777777" w:rsidTr="00A714AE">
        <w:tc>
          <w:tcPr>
            <w:tcW w:w="3652" w:type="dxa"/>
            <w:vMerge w:val="restart"/>
            <w:vAlign w:val="center"/>
          </w:tcPr>
          <w:p w14:paraId="33A95186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1A94AB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6A4EBF5" w14:textId="3421D73A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FFCF1CC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82282" w14:paraId="6DFE39F5" w14:textId="77777777" w:rsidTr="00A714AE">
        <w:tc>
          <w:tcPr>
            <w:tcW w:w="3652" w:type="dxa"/>
            <w:vMerge/>
            <w:vAlign w:val="center"/>
          </w:tcPr>
          <w:p w14:paraId="7F85E2D6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5C195D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5D4BC" w14:textId="78F97FB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7FF02DF" w14:textId="03986698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D1DDEEF" w14:textId="2D2AEEA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282" w14:paraId="21234533" w14:textId="77777777" w:rsidTr="00A714AE">
        <w:tc>
          <w:tcPr>
            <w:tcW w:w="3652" w:type="dxa"/>
            <w:vAlign w:val="center"/>
          </w:tcPr>
          <w:p w14:paraId="4D02629D" w14:textId="1E3D908E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  <w:r w:rsidR="00BC65D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взимаемый </w:t>
            </w:r>
            <w:r w:rsidRPr="00327B03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6F8E0F8D" w14:textId="3531DD07" w:rsidR="00482282" w:rsidRPr="0063239D" w:rsidRDefault="00EE2D1B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418" w:type="dxa"/>
            <w:vAlign w:val="center"/>
          </w:tcPr>
          <w:p w14:paraId="37F7915B" w14:textId="16592F46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2354,0</w:t>
            </w:r>
          </w:p>
        </w:tc>
        <w:tc>
          <w:tcPr>
            <w:tcW w:w="1559" w:type="dxa"/>
            <w:vAlign w:val="center"/>
          </w:tcPr>
          <w:p w14:paraId="2F9010B9" w14:textId="20A3FA54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2519,0</w:t>
            </w:r>
          </w:p>
        </w:tc>
        <w:tc>
          <w:tcPr>
            <w:tcW w:w="1382" w:type="dxa"/>
            <w:vAlign w:val="center"/>
          </w:tcPr>
          <w:p w14:paraId="44DE59AE" w14:textId="2C526151" w:rsidR="00482282" w:rsidRPr="0063239D" w:rsidRDefault="00BC65D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2695,0</w:t>
            </w:r>
          </w:p>
        </w:tc>
      </w:tr>
      <w:tr w:rsidR="00482282" w14:paraId="6F8A0A5F" w14:textId="77777777" w:rsidTr="00A714AE">
        <w:tc>
          <w:tcPr>
            <w:tcW w:w="3652" w:type="dxa"/>
            <w:vAlign w:val="center"/>
          </w:tcPr>
          <w:p w14:paraId="612278F6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287617E" w14:textId="756F1AB7" w:rsidR="00482282" w:rsidRPr="0063239D" w:rsidRDefault="001A25D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14:paraId="1EB3D65F" w14:textId="27F138A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vAlign w:val="center"/>
          </w:tcPr>
          <w:p w14:paraId="7433CBCF" w14:textId="430E83E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2" w:type="dxa"/>
            <w:vAlign w:val="center"/>
          </w:tcPr>
          <w:p w14:paraId="021EB81E" w14:textId="44E49218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</w:tr>
      <w:tr w:rsidR="00482282" w14:paraId="16220925" w14:textId="77777777" w:rsidTr="00A714AE">
        <w:tc>
          <w:tcPr>
            <w:tcW w:w="3652" w:type="dxa"/>
            <w:vAlign w:val="center"/>
          </w:tcPr>
          <w:p w14:paraId="1DBCD68D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07FA953" w14:textId="4CAF8B06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1821,5</w:t>
            </w:r>
          </w:p>
        </w:tc>
        <w:tc>
          <w:tcPr>
            <w:tcW w:w="1418" w:type="dxa"/>
            <w:vAlign w:val="center"/>
          </w:tcPr>
          <w:p w14:paraId="6C8FC7A4" w14:textId="7AA75456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559" w:type="dxa"/>
            <w:vAlign w:val="center"/>
          </w:tcPr>
          <w:p w14:paraId="62EACD65" w14:textId="78503758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382" w:type="dxa"/>
            <w:vAlign w:val="center"/>
          </w:tcPr>
          <w:p w14:paraId="64D68E68" w14:textId="09D30F61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176,0</w:t>
            </w:r>
          </w:p>
        </w:tc>
      </w:tr>
      <w:tr w:rsidR="00482282" w14:paraId="32210C09" w14:textId="77777777" w:rsidTr="00A714AE">
        <w:tc>
          <w:tcPr>
            <w:tcW w:w="3652" w:type="dxa"/>
            <w:vAlign w:val="center"/>
          </w:tcPr>
          <w:p w14:paraId="32C5905B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03FCA93" w14:textId="05E1E45A" w:rsidR="00482282" w:rsidRPr="0063239D" w:rsidRDefault="001D151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19,1 раза</w:t>
            </w:r>
          </w:p>
        </w:tc>
        <w:tc>
          <w:tcPr>
            <w:tcW w:w="1418" w:type="dxa"/>
            <w:vAlign w:val="center"/>
          </w:tcPr>
          <w:p w14:paraId="0A4B493D" w14:textId="7386AAE9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59" w:type="dxa"/>
            <w:vAlign w:val="center"/>
          </w:tcPr>
          <w:p w14:paraId="054568DA" w14:textId="63CC8063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14:paraId="52D435CE" w14:textId="7A9D59AE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</w:tr>
      <w:tr w:rsidR="00482282" w14:paraId="39A4E00F" w14:textId="77777777" w:rsidTr="00A714AE">
        <w:tc>
          <w:tcPr>
            <w:tcW w:w="3652" w:type="dxa"/>
            <w:vAlign w:val="center"/>
          </w:tcPr>
          <w:p w14:paraId="38D773D6" w14:textId="5CB1B9D3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C83A5E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18105A9" w14:textId="6D3AE6E9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59" w:type="dxa"/>
            <w:vAlign w:val="center"/>
          </w:tcPr>
          <w:p w14:paraId="6DC2DD56" w14:textId="76D13224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382" w:type="dxa"/>
            <w:vAlign w:val="center"/>
          </w:tcPr>
          <w:p w14:paraId="67B22E3E" w14:textId="24757D5D" w:rsidR="00482282" w:rsidRPr="0063239D" w:rsidRDefault="0076175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140,2</w:t>
            </w:r>
          </w:p>
        </w:tc>
      </w:tr>
    </w:tbl>
    <w:p w14:paraId="053469A2" w14:textId="6D9E9604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122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BB0552">
        <w:rPr>
          <w:rFonts w:ascii="Times New Roman" w:hAnsi="Times New Roman" w:cs="Times New Roman"/>
          <w:sz w:val="28"/>
          <w:szCs w:val="28"/>
        </w:rPr>
        <w:t>2354,0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B0552">
        <w:rPr>
          <w:rFonts w:ascii="Times New Roman" w:hAnsi="Times New Roman" w:cs="Times New Roman"/>
          <w:sz w:val="28"/>
          <w:szCs w:val="28"/>
        </w:rPr>
        <w:t>432,0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52">
        <w:rPr>
          <w:rFonts w:ascii="Times New Roman" w:hAnsi="Times New Roman" w:cs="Times New Roman"/>
          <w:sz w:val="28"/>
          <w:szCs w:val="28"/>
        </w:rPr>
        <w:t>на 22,5%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BB0552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8716B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BB0552">
        <w:rPr>
          <w:rFonts w:ascii="Times New Roman" w:hAnsi="Times New Roman" w:cs="Times New Roman"/>
          <w:sz w:val="28"/>
          <w:szCs w:val="28"/>
        </w:rPr>
        <w:t>2519,0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552">
        <w:rPr>
          <w:rFonts w:ascii="Times New Roman" w:hAnsi="Times New Roman" w:cs="Times New Roman"/>
          <w:sz w:val="28"/>
          <w:szCs w:val="28"/>
        </w:rPr>
        <w:t>2695,0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05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8716BA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B05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6BA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8716BA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B0552">
        <w:rPr>
          <w:rFonts w:ascii="Times New Roman" w:hAnsi="Times New Roman" w:cs="Times New Roman"/>
          <w:sz w:val="28"/>
          <w:szCs w:val="28"/>
        </w:rPr>
        <w:t>140,2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CF6D4" w14:textId="65D72F5A" w:rsidR="00482282" w:rsidRDefault="00482282" w:rsidP="0048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4B9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08FA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1525"/>
        <w:gridCol w:w="1386"/>
        <w:gridCol w:w="1519"/>
        <w:gridCol w:w="1353"/>
      </w:tblGrid>
      <w:tr w:rsidR="00482282" w14:paraId="2FDFC98D" w14:textId="77777777" w:rsidTr="00A714AE">
        <w:tc>
          <w:tcPr>
            <w:tcW w:w="3652" w:type="dxa"/>
            <w:vMerge w:val="restart"/>
            <w:vAlign w:val="center"/>
          </w:tcPr>
          <w:p w14:paraId="2DA5EFAB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1E845FE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6D1F711" w14:textId="29A1373E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0002031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F08FA" w14:paraId="6076B094" w14:textId="77777777" w:rsidTr="00A714AE">
        <w:tc>
          <w:tcPr>
            <w:tcW w:w="3652" w:type="dxa"/>
            <w:vMerge/>
            <w:vAlign w:val="center"/>
          </w:tcPr>
          <w:p w14:paraId="3743E038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1FD8E73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4E9DE8" w14:textId="752C5850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E0C95BC" w14:textId="0DE0DF1C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3D93FF0" w14:textId="3BB794DF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F08FA" w14:paraId="0798C5D4" w14:textId="77777777" w:rsidTr="00A714AE">
        <w:tc>
          <w:tcPr>
            <w:tcW w:w="3652" w:type="dxa"/>
            <w:vAlign w:val="center"/>
          </w:tcPr>
          <w:p w14:paraId="4461082A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59830A66" w14:textId="115E1A21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418" w:type="dxa"/>
            <w:vAlign w:val="center"/>
          </w:tcPr>
          <w:p w14:paraId="1332CE6A" w14:textId="4E74C28F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1765,0</w:t>
            </w:r>
          </w:p>
        </w:tc>
        <w:tc>
          <w:tcPr>
            <w:tcW w:w="1559" w:type="dxa"/>
            <w:vAlign w:val="center"/>
          </w:tcPr>
          <w:p w14:paraId="1F256671" w14:textId="6C0D5DCA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1760,0</w:t>
            </w:r>
          </w:p>
        </w:tc>
        <w:tc>
          <w:tcPr>
            <w:tcW w:w="1382" w:type="dxa"/>
            <w:vAlign w:val="center"/>
          </w:tcPr>
          <w:p w14:paraId="78D7BDC9" w14:textId="45F19B92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1775,0</w:t>
            </w:r>
          </w:p>
        </w:tc>
      </w:tr>
      <w:tr w:rsidR="001F08FA" w14:paraId="63D823D9" w14:textId="77777777" w:rsidTr="00A714AE">
        <w:tc>
          <w:tcPr>
            <w:tcW w:w="3652" w:type="dxa"/>
            <w:vAlign w:val="center"/>
          </w:tcPr>
          <w:p w14:paraId="0AEA0899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F5879FF" w14:textId="7936DECA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14:paraId="104D101E" w14:textId="78F2D6C9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14:paraId="777018A0" w14:textId="129A2EDF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82" w:type="dxa"/>
            <w:vAlign w:val="center"/>
          </w:tcPr>
          <w:p w14:paraId="226DA824" w14:textId="49A047E0" w:rsidR="00482282" w:rsidRPr="0063239D" w:rsidRDefault="00122C84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</w:t>
            </w:r>
          </w:p>
        </w:tc>
      </w:tr>
      <w:tr w:rsidR="001F08FA" w14:paraId="4304ED1D" w14:textId="77777777" w:rsidTr="00A714AE">
        <w:tc>
          <w:tcPr>
            <w:tcW w:w="3652" w:type="dxa"/>
            <w:vAlign w:val="center"/>
          </w:tcPr>
          <w:p w14:paraId="75E43391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E9B258E" w14:textId="39314C20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-220,7</w:t>
            </w:r>
          </w:p>
        </w:tc>
        <w:tc>
          <w:tcPr>
            <w:tcW w:w="1418" w:type="dxa"/>
            <w:vAlign w:val="center"/>
          </w:tcPr>
          <w:p w14:paraId="30FC975F" w14:textId="7FDD7D69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559" w:type="dxa"/>
            <w:vAlign w:val="center"/>
          </w:tcPr>
          <w:p w14:paraId="6547E8BB" w14:textId="450DD2E0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382" w:type="dxa"/>
            <w:vAlign w:val="center"/>
          </w:tcPr>
          <w:p w14:paraId="12B84A3E" w14:textId="24C8B91E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</w:tr>
      <w:tr w:rsidR="001F08FA" w14:paraId="307C4347" w14:textId="77777777" w:rsidTr="00A714AE">
        <w:tc>
          <w:tcPr>
            <w:tcW w:w="3652" w:type="dxa"/>
            <w:vAlign w:val="center"/>
          </w:tcPr>
          <w:p w14:paraId="2F093B0B" w14:textId="77777777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02ACFBE" w14:textId="6A2C283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8" w:type="dxa"/>
            <w:vAlign w:val="center"/>
          </w:tcPr>
          <w:p w14:paraId="55706F15" w14:textId="19C8F4B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  <w:vAlign w:val="center"/>
          </w:tcPr>
          <w:p w14:paraId="55626845" w14:textId="25A4B405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82" w:type="dxa"/>
            <w:vAlign w:val="center"/>
          </w:tcPr>
          <w:p w14:paraId="3B4711A2" w14:textId="289134E7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100,9</w:t>
            </w:r>
          </w:p>
        </w:tc>
      </w:tr>
      <w:tr w:rsidR="001F08FA" w14:paraId="7BC7190F" w14:textId="77777777" w:rsidTr="00A714AE">
        <w:tc>
          <w:tcPr>
            <w:tcW w:w="3652" w:type="dxa"/>
            <w:vAlign w:val="center"/>
          </w:tcPr>
          <w:p w14:paraId="2A2DC2F3" w14:textId="1B52C8A0" w:rsidR="00482282" w:rsidRPr="0063239D" w:rsidRDefault="00482282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F08F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89CBB0C" w14:textId="77777777" w:rsidR="00482282" w:rsidRPr="0063239D" w:rsidRDefault="00482282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FC07BDF" w14:textId="04A0ECD7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  <w:vAlign w:val="center"/>
          </w:tcPr>
          <w:p w14:paraId="465D02E9" w14:textId="493C50B3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382" w:type="dxa"/>
            <w:vAlign w:val="center"/>
          </w:tcPr>
          <w:p w14:paraId="794589DF" w14:textId="27432CAB" w:rsidR="00482282" w:rsidRPr="0063239D" w:rsidRDefault="00BA5080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147,9</w:t>
            </w:r>
          </w:p>
        </w:tc>
      </w:tr>
    </w:tbl>
    <w:p w14:paraId="2CCDCEA2" w14:textId="77777777" w:rsidR="000F1EDB" w:rsidRDefault="000F1EDB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947C4" w14:textId="5BAA3C07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F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6F102D">
        <w:rPr>
          <w:rFonts w:ascii="Times New Roman" w:hAnsi="Times New Roman" w:cs="Times New Roman"/>
          <w:sz w:val="28"/>
          <w:szCs w:val="28"/>
        </w:rPr>
        <w:t>1765,0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Поступление налога в бюджет в 202</w:t>
      </w:r>
      <w:r w:rsidR="006F102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6F102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F102D">
        <w:rPr>
          <w:rFonts w:ascii="Times New Roman" w:hAnsi="Times New Roman" w:cs="Times New Roman"/>
          <w:sz w:val="28"/>
          <w:szCs w:val="28"/>
        </w:rPr>
        <w:t>1760,0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17</w:t>
      </w:r>
      <w:r w:rsidR="006F102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6F102D">
        <w:rPr>
          <w:rFonts w:ascii="Times New Roman" w:hAnsi="Times New Roman" w:cs="Times New Roman"/>
          <w:sz w:val="28"/>
          <w:szCs w:val="28"/>
        </w:rPr>
        <w:t>99,7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85F0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F102D">
        <w:rPr>
          <w:rFonts w:ascii="Times New Roman" w:hAnsi="Times New Roman" w:cs="Times New Roman"/>
          <w:sz w:val="28"/>
          <w:szCs w:val="28"/>
        </w:rPr>
        <w:t>100,9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85F05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6F10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и 1,</w:t>
      </w:r>
      <w:r w:rsidR="006F102D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2F2AA" w14:textId="6839F5E3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по задолженности и перерасчетам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18DA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E18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3372BB" w14:textId="77777777" w:rsidR="000A58D0" w:rsidRPr="000A58D0" w:rsidRDefault="000A58D0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6FD7C67B" w14:textId="7B23FA68" w:rsidR="00443362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2022 год прогнозируется в сумме </w:t>
      </w:r>
      <w:r w:rsidR="00443362">
        <w:rPr>
          <w:rFonts w:ascii="Times New Roman" w:hAnsi="Times New Roman" w:cs="Times New Roman"/>
          <w:sz w:val="28"/>
          <w:szCs w:val="28"/>
        </w:rPr>
        <w:t>10619,0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03917FE" w14:textId="0B9587F2" w:rsidR="005D15F0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>Динамика прогнозных значений на 2022-2024 годы в сравнении с поступлением неналоговых доходов в 20</w:t>
      </w:r>
      <w:r w:rsidR="00443362">
        <w:rPr>
          <w:rFonts w:ascii="Times New Roman" w:hAnsi="Times New Roman" w:cs="Times New Roman"/>
          <w:sz w:val="28"/>
          <w:szCs w:val="28"/>
        </w:rPr>
        <w:t>20</w:t>
      </w:r>
      <w:r w:rsidRPr="00443362">
        <w:rPr>
          <w:rFonts w:ascii="Times New Roman" w:hAnsi="Times New Roman" w:cs="Times New Roman"/>
          <w:sz w:val="28"/>
          <w:szCs w:val="28"/>
        </w:rPr>
        <w:t>-2021 года</w:t>
      </w:r>
      <w:r w:rsidR="00764B25">
        <w:rPr>
          <w:rFonts w:ascii="Times New Roman" w:hAnsi="Times New Roman" w:cs="Times New Roman"/>
          <w:sz w:val="28"/>
          <w:szCs w:val="28"/>
        </w:rPr>
        <w:t xml:space="preserve"> </w:t>
      </w:r>
      <w:r w:rsidRPr="00443362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251287" w14:paraId="4131CF98" w14:textId="77777777" w:rsidTr="00251287">
        <w:tc>
          <w:tcPr>
            <w:tcW w:w="2405" w:type="dxa"/>
            <w:vMerge w:val="restart"/>
            <w:vAlign w:val="center"/>
          </w:tcPr>
          <w:p w14:paraId="4B4C6A19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38A51666" w14:textId="77777777" w:rsidR="00251287" w:rsidRDefault="00251287" w:rsidP="00251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Факт </w:t>
            </w:r>
          </w:p>
          <w:p w14:paraId="4CCE0FA7" w14:textId="41B69629" w:rsidR="00251287" w:rsidRPr="0063239D" w:rsidRDefault="00251287" w:rsidP="00251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B1CC0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  <w:vMerge w:val="restart"/>
            <w:vAlign w:val="center"/>
          </w:tcPr>
          <w:p w14:paraId="4D8F1FDE" w14:textId="7658EECC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658E0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9" w:type="dxa"/>
            <w:gridSpan w:val="3"/>
            <w:vAlign w:val="center"/>
          </w:tcPr>
          <w:p w14:paraId="024C38F5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51287" w14:paraId="1BAB9792" w14:textId="77777777" w:rsidTr="00251287">
        <w:tc>
          <w:tcPr>
            <w:tcW w:w="2405" w:type="dxa"/>
            <w:vMerge/>
            <w:vAlign w:val="center"/>
          </w:tcPr>
          <w:p w14:paraId="2EF5C3BA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083EAB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25628852" w14:textId="304D92DF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0146BC8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3A77C820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vAlign w:val="center"/>
          </w:tcPr>
          <w:p w14:paraId="20453FC1" w14:textId="77777777" w:rsidR="00251287" w:rsidRPr="0063239D" w:rsidRDefault="00251287" w:rsidP="001B27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1287" w14:paraId="04D2A43E" w14:textId="77777777" w:rsidTr="00251287">
        <w:tc>
          <w:tcPr>
            <w:tcW w:w="2405" w:type="dxa"/>
            <w:vAlign w:val="center"/>
          </w:tcPr>
          <w:p w14:paraId="20E28851" w14:textId="7A85D093" w:rsidR="00251287" w:rsidRPr="00251287" w:rsidRDefault="00251287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5128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0A9AAA2E" w14:textId="1DDDBEE1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6107,9</w:t>
            </w:r>
          </w:p>
        </w:tc>
        <w:tc>
          <w:tcPr>
            <w:tcW w:w="1404" w:type="dxa"/>
            <w:vAlign w:val="center"/>
          </w:tcPr>
          <w:p w14:paraId="2D9461D2" w14:textId="12918577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9416,0</w:t>
            </w:r>
          </w:p>
        </w:tc>
        <w:tc>
          <w:tcPr>
            <w:tcW w:w="1386" w:type="dxa"/>
            <w:vAlign w:val="center"/>
          </w:tcPr>
          <w:p w14:paraId="30797953" w14:textId="7902D5BD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1521" w:type="dxa"/>
            <w:vAlign w:val="center"/>
          </w:tcPr>
          <w:p w14:paraId="3F303C4B" w14:textId="0C18C059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6604,0</w:t>
            </w:r>
          </w:p>
        </w:tc>
        <w:tc>
          <w:tcPr>
            <w:tcW w:w="1352" w:type="dxa"/>
            <w:vAlign w:val="center"/>
          </w:tcPr>
          <w:p w14:paraId="3885EC9A" w14:textId="23023682" w:rsidR="00251287" w:rsidRPr="00251287" w:rsidRDefault="00BB1CC0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6655,0</w:t>
            </w:r>
          </w:p>
        </w:tc>
      </w:tr>
      <w:tr w:rsidR="00251287" w14:paraId="1BC94151" w14:textId="77777777" w:rsidTr="00251287">
        <w:tc>
          <w:tcPr>
            <w:tcW w:w="2405" w:type="dxa"/>
            <w:vAlign w:val="center"/>
          </w:tcPr>
          <w:p w14:paraId="1FF39F44" w14:textId="12AAC499" w:rsidR="00251287" w:rsidRPr="00FE2C64" w:rsidRDefault="00FE2C64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2C64">
              <w:rPr>
                <w:rFonts w:ascii="Times New Roman" w:hAnsi="Times New Roman" w:cs="Times New Roman"/>
                <w:sz w:val="24"/>
                <w:szCs w:val="24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5F48DC04" w14:textId="7EBAD050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4" w:type="dxa"/>
            <w:vAlign w:val="center"/>
          </w:tcPr>
          <w:p w14:paraId="6031A4C8" w14:textId="63CC191E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3309,0</w:t>
            </w:r>
          </w:p>
        </w:tc>
        <w:tc>
          <w:tcPr>
            <w:tcW w:w="1386" w:type="dxa"/>
            <w:vAlign w:val="center"/>
          </w:tcPr>
          <w:p w14:paraId="6B8B6585" w14:textId="1E7B0D4C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21" w:type="dxa"/>
            <w:vAlign w:val="center"/>
          </w:tcPr>
          <w:p w14:paraId="5DC2897D" w14:textId="13A9916E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-4015,0</w:t>
            </w:r>
          </w:p>
        </w:tc>
        <w:tc>
          <w:tcPr>
            <w:tcW w:w="1352" w:type="dxa"/>
            <w:vAlign w:val="center"/>
          </w:tcPr>
          <w:p w14:paraId="0B216917" w14:textId="4210D78A" w:rsidR="00251287" w:rsidRPr="0063239D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51,0</w:t>
            </w:r>
          </w:p>
        </w:tc>
      </w:tr>
      <w:tr w:rsidR="00251287" w14:paraId="7CA6136D" w14:textId="77777777" w:rsidTr="00251287">
        <w:tc>
          <w:tcPr>
            <w:tcW w:w="2405" w:type="dxa"/>
            <w:vAlign w:val="center"/>
          </w:tcPr>
          <w:p w14:paraId="12DB8F7A" w14:textId="35130E6D" w:rsidR="00251287" w:rsidRPr="002D571C" w:rsidRDefault="002D571C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71C">
              <w:rPr>
                <w:rFonts w:ascii="Times New Roman" w:hAnsi="Times New Roman" w:cs="Times New Roman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418458B1" w14:textId="58640935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3A5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4" w:type="dxa"/>
            <w:vAlign w:val="center"/>
          </w:tcPr>
          <w:p w14:paraId="0C1C0700" w14:textId="540E206B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386" w:type="dxa"/>
            <w:vAlign w:val="center"/>
          </w:tcPr>
          <w:p w14:paraId="2A455003" w14:textId="0A27D5B7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521" w:type="dxa"/>
            <w:vAlign w:val="center"/>
          </w:tcPr>
          <w:p w14:paraId="401B41BB" w14:textId="3506238F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352" w:type="dxa"/>
            <w:vAlign w:val="center"/>
          </w:tcPr>
          <w:p w14:paraId="70B57713" w14:textId="5B971D0E" w:rsidR="00251287" w:rsidRPr="00EF3A58" w:rsidRDefault="00EF3A58" w:rsidP="00C44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</w:tbl>
    <w:p w14:paraId="028D08C3" w14:textId="220209D5" w:rsidR="008868EA" w:rsidRDefault="00FB308B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2022 год составляет </w:t>
      </w:r>
      <w:r w:rsidR="0019169C">
        <w:rPr>
          <w:rFonts w:ascii="Times New Roman" w:hAnsi="Times New Roman" w:cs="Times New Roman"/>
          <w:sz w:val="28"/>
          <w:szCs w:val="28"/>
        </w:rPr>
        <w:t>3,0 процента.</w:t>
      </w:r>
    </w:p>
    <w:p w14:paraId="76541F2E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9419F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CB7EE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972B0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0D0AC" w14:textId="77777777" w:rsidR="00793C78" w:rsidRDefault="00793C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D34C7" w14:textId="0C31BC48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Динамика прогнозируемого поступления неналоговых доходов представлена в </w:t>
      </w:r>
      <w:r w:rsidRPr="000F1EDB">
        <w:rPr>
          <w:rFonts w:ascii="Times New Roman" w:eastAsia="Calibri" w:hAnsi="Times New Roman" w:cs="Times New Roman"/>
          <w:sz w:val="32"/>
          <w:szCs w:val="28"/>
        </w:rPr>
        <w:t>таблице.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791B56" w:rsidRPr="000F1EDB" w14:paraId="7379ADE0" w14:textId="77777777" w:rsidTr="00E80713">
        <w:tc>
          <w:tcPr>
            <w:tcW w:w="3282" w:type="dxa"/>
            <w:vMerge w:val="restart"/>
            <w:vAlign w:val="center"/>
          </w:tcPr>
          <w:p w14:paraId="0DD5DB67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04ECA05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Наименование показателя</w:t>
            </w:r>
          </w:p>
          <w:p w14:paraId="40B5B6C5" w14:textId="1EB896D0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63188F2" w14:textId="483BE753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1</w:t>
            </w: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14:paraId="055F7C8A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3B397EB1" w14:textId="0077E72C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714" w:type="dxa"/>
            <w:gridSpan w:val="2"/>
            <w:vAlign w:val="center"/>
          </w:tcPr>
          <w:p w14:paraId="27BE2DDC" w14:textId="079F44D3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780" w:type="dxa"/>
            <w:gridSpan w:val="2"/>
            <w:vAlign w:val="center"/>
          </w:tcPr>
          <w:p w14:paraId="45F2176E" w14:textId="5C14FC08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864759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</w:tr>
      <w:tr w:rsidR="00791B56" w:rsidRPr="000F1EDB" w14:paraId="17CD6EB8" w14:textId="77777777" w:rsidTr="00E80713">
        <w:tc>
          <w:tcPr>
            <w:tcW w:w="3282" w:type="dxa"/>
            <w:vMerge/>
          </w:tcPr>
          <w:p w14:paraId="7520952B" w14:textId="2A7E71F2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E077F90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00B5BBB7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56EF0D75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% к </w:t>
            </w:r>
            <w:proofErr w:type="spellStart"/>
            <w:r w:rsidRPr="000F1EDB">
              <w:rPr>
                <w:rFonts w:ascii="Times New Roman" w:eastAsia="Calibri" w:hAnsi="Times New Roman" w:cs="Times New Roman"/>
                <w:szCs w:val="20"/>
              </w:rPr>
              <w:t>перд</w:t>
            </w:r>
            <w:proofErr w:type="spellEnd"/>
            <w:r w:rsidRPr="000F1EDB">
              <w:rPr>
                <w:rFonts w:ascii="Times New Roman" w:eastAsia="Calibri" w:hAnsi="Times New Roman" w:cs="Times New Roman"/>
                <w:szCs w:val="20"/>
              </w:rPr>
              <w:t>. году</w:t>
            </w:r>
          </w:p>
        </w:tc>
        <w:tc>
          <w:tcPr>
            <w:tcW w:w="975" w:type="dxa"/>
            <w:vAlign w:val="center"/>
          </w:tcPr>
          <w:p w14:paraId="2BE42144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69DCF1E3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% к </w:t>
            </w:r>
            <w:proofErr w:type="spellStart"/>
            <w:r w:rsidRPr="000F1EDB">
              <w:rPr>
                <w:rFonts w:ascii="Times New Roman" w:eastAsia="Calibri" w:hAnsi="Times New Roman" w:cs="Times New Roman"/>
                <w:szCs w:val="20"/>
              </w:rPr>
              <w:t>перд</w:t>
            </w:r>
            <w:proofErr w:type="spellEnd"/>
            <w:r w:rsidRPr="000F1EDB">
              <w:rPr>
                <w:rFonts w:ascii="Times New Roman" w:eastAsia="Calibri" w:hAnsi="Times New Roman" w:cs="Times New Roman"/>
                <w:szCs w:val="20"/>
              </w:rPr>
              <w:t>. году</w:t>
            </w:r>
          </w:p>
        </w:tc>
        <w:tc>
          <w:tcPr>
            <w:tcW w:w="1041" w:type="dxa"/>
            <w:vAlign w:val="center"/>
          </w:tcPr>
          <w:p w14:paraId="5C38768B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7D288D9B" w14:textId="7777777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% к </w:t>
            </w:r>
            <w:proofErr w:type="spellStart"/>
            <w:r w:rsidRPr="000F1EDB">
              <w:rPr>
                <w:rFonts w:ascii="Times New Roman" w:eastAsia="Calibri" w:hAnsi="Times New Roman" w:cs="Times New Roman"/>
                <w:szCs w:val="20"/>
              </w:rPr>
              <w:t>перд</w:t>
            </w:r>
            <w:proofErr w:type="spellEnd"/>
            <w:r w:rsidRPr="000F1EDB">
              <w:rPr>
                <w:rFonts w:ascii="Times New Roman" w:eastAsia="Calibri" w:hAnsi="Times New Roman" w:cs="Times New Roman"/>
                <w:szCs w:val="20"/>
              </w:rPr>
              <w:t>. году</w:t>
            </w:r>
          </w:p>
        </w:tc>
      </w:tr>
      <w:tr w:rsidR="00791B56" w:rsidRPr="000F1EDB" w14:paraId="3CF33121" w14:textId="77777777" w:rsidTr="00E80713">
        <w:tc>
          <w:tcPr>
            <w:tcW w:w="3282" w:type="dxa"/>
          </w:tcPr>
          <w:p w14:paraId="60915C99" w14:textId="7026B99F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439A3213" w14:textId="4B3523E0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9416,0</w:t>
            </w:r>
          </w:p>
        </w:tc>
        <w:tc>
          <w:tcPr>
            <w:tcW w:w="975" w:type="dxa"/>
            <w:vAlign w:val="center"/>
          </w:tcPr>
          <w:p w14:paraId="0D7FCA3D" w14:textId="0EE1F824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10619,0</w:t>
            </w:r>
          </w:p>
        </w:tc>
        <w:tc>
          <w:tcPr>
            <w:tcW w:w="739" w:type="dxa"/>
            <w:vAlign w:val="center"/>
          </w:tcPr>
          <w:p w14:paraId="7A7E36A3" w14:textId="43BC2213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112,8</w:t>
            </w:r>
          </w:p>
        </w:tc>
        <w:tc>
          <w:tcPr>
            <w:tcW w:w="975" w:type="dxa"/>
            <w:vAlign w:val="center"/>
          </w:tcPr>
          <w:p w14:paraId="5702F90F" w14:textId="1EA19A0D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6604,0</w:t>
            </w:r>
          </w:p>
        </w:tc>
        <w:tc>
          <w:tcPr>
            <w:tcW w:w="739" w:type="dxa"/>
            <w:vAlign w:val="center"/>
          </w:tcPr>
          <w:p w14:paraId="28199961" w14:textId="0D9C049A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62,2</w:t>
            </w:r>
          </w:p>
        </w:tc>
        <w:tc>
          <w:tcPr>
            <w:tcW w:w="1041" w:type="dxa"/>
            <w:vAlign w:val="center"/>
          </w:tcPr>
          <w:p w14:paraId="791DEB69" w14:textId="6C7B93E7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6655,0</w:t>
            </w:r>
          </w:p>
        </w:tc>
        <w:tc>
          <w:tcPr>
            <w:tcW w:w="739" w:type="dxa"/>
            <w:vAlign w:val="center"/>
          </w:tcPr>
          <w:p w14:paraId="0BDD1ECC" w14:textId="6C5DA3C2" w:rsidR="00791B56" w:rsidRPr="000F1EDB" w:rsidRDefault="0011745E" w:rsidP="000F1EDB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100,8</w:t>
            </w:r>
          </w:p>
        </w:tc>
      </w:tr>
      <w:tr w:rsidR="00791B56" w:rsidRPr="000F1EDB" w14:paraId="4B5EAE23" w14:textId="77777777" w:rsidTr="00E80713">
        <w:tc>
          <w:tcPr>
            <w:tcW w:w="3282" w:type="dxa"/>
          </w:tcPr>
          <w:p w14:paraId="0B341F8F" w14:textId="2ACA6541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69AB7488" w14:textId="1783551C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3243,0</w:t>
            </w:r>
          </w:p>
        </w:tc>
        <w:tc>
          <w:tcPr>
            <w:tcW w:w="975" w:type="dxa"/>
            <w:vAlign w:val="center"/>
          </w:tcPr>
          <w:p w14:paraId="71A27F76" w14:textId="4C73D93A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0200CDF4" w14:textId="1C120499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131,3</w:t>
            </w:r>
          </w:p>
        </w:tc>
        <w:tc>
          <w:tcPr>
            <w:tcW w:w="975" w:type="dxa"/>
            <w:vAlign w:val="center"/>
          </w:tcPr>
          <w:p w14:paraId="73E9B552" w14:textId="37D31B4E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67DE0705" w14:textId="59E08618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4BC041E1" w14:textId="53F8D5F6" w:rsidR="00791B56" w:rsidRPr="000F1EDB" w:rsidRDefault="00B136C1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4259,0</w:t>
            </w:r>
          </w:p>
        </w:tc>
        <w:tc>
          <w:tcPr>
            <w:tcW w:w="739" w:type="dxa"/>
            <w:vAlign w:val="center"/>
          </w:tcPr>
          <w:p w14:paraId="29AC2045" w14:textId="0CC3084D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</w:tr>
      <w:tr w:rsidR="00791B56" w:rsidRPr="000F1EDB" w14:paraId="6A80C274" w14:textId="77777777" w:rsidTr="00E80713">
        <w:tc>
          <w:tcPr>
            <w:tcW w:w="3282" w:type="dxa"/>
          </w:tcPr>
          <w:p w14:paraId="08F9EDC4" w14:textId="71030FF6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7723320B" w14:textId="1ABBFA31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25,0</w:t>
            </w:r>
          </w:p>
        </w:tc>
        <w:tc>
          <w:tcPr>
            <w:tcW w:w="975" w:type="dxa"/>
            <w:vAlign w:val="center"/>
          </w:tcPr>
          <w:p w14:paraId="1C43D8E5" w14:textId="2A3A052C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30,0</w:t>
            </w:r>
          </w:p>
        </w:tc>
        <w:tc>
          <w:tcPr>
            <w:tcW w:w="739" w:type="dxa"/>
            <w:vAlign w:val="center"/>
          </w:tcPr>
          <w:p w14:paraId="71E47745" w14:textId="12AE018B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120,0</w:t>
            </w:r>
          </w:p>
        </w:tc>
        <w:tc>
          <w:tcPr>
            <w:tcW w:w="975" w:type="dxa"/>
            <w:vAlign w:val="center"/>
          </w:tcPr>
          <w:p w14:paraId="64C0871A" w14:textId="17C96353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35,0</w:t>
            </w:r>
          </w:p>
        </w:tc>
        <w:tc>
          <w:tcPr>
            <w:tcW w:w="739" w:type="dxa"/>
            <w:vAlign w:val="center"/>
          </w:tcPr>
          <w:p w14:paraId="490BE628" w14:textId="22FB8E18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116,7</w:t>
            </w:r>
          </w:p>
        </w:tc>
        <w:tc>
          <w:tcPr>
            <w:tcW w:w="1041" w:type="dxa"/>
            <w:vAlign w:val="center"/>
          </w:tcPr>
          <w:p w14:paraId="68897414" w14:textId="22855F0D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36</w:t>
            </w:r>
          </w:p>
        </w:tc>
        <w:tc>
          <w:tcPr>
            <w:tcW w:w="739" w:type="dxa"/>
            <w:vAlign w:val="center"/>
          </w:tcPr>
          <w:p w14:paraId="7C372483" w14:textId="5D781F05" w:rsidR="00791B56" w:rsidRPr="000F1EDB" w:rsidRDefault="0009013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102,9</w:t>
            </w:r>
          </w:p>
        </w:tc>
      </w:tr>
      <w:tr w:rsidR="00791B56" w:rsidRPr="000F1EDB" w14:paraId="1F0CD4FC" w14:textId="77777777" w:rsidTr="00E80713">
        <w:tc>
          <w:tcPr>
            <w:tcW w:w="3282" w:type="dxa"/>
          </w:tcPr>
          <w:p w14:paraId="610B0FC8" w14:textId="14A65DBF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006952D6" w14:textId="415B2D6C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735,0</w:t>
            </w:r>
          </w:p>
        </w:tc>
        <w:tc>
          <w:tcPr>
            <w:tcW w:w="975" w:type="dxa"/>
            <w:vAlign w:val="center"/>
          </w:tcPr>
          <w:p w14:paraId="639B93C9" w14:textId="22DE3817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740,0</w:t>
            </w:r>
          </w:p>
        </w:tc>
        <w:tc>
          <w:tcPr>
            <w:tcW w:w="739" w:type="dxa"/>
            <w:vAlign w:val="center"/>
          </w:tcPr>
          <w:p w14:paraId="62818120" w14:textId="491594B4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100,7</w:t>
            </w:r>
          </w:p>
        </w:tc>
        <w:tc>
          <w:tcPr>
            <w:tcW w:w="975" w:type="dxa"/>
            <w:vAlign w:val="center"/>
          </w:tcPr>
          <w:p w14:paraId="1D43A190" w14:textId="086DD761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750,0</w:t>
            </w:r>
          </w:p>
        </w:tc>
        <w:tc>
          <w:tcPr>
            <w:tcW w:w="739" w:type="dxa"/>
            <w:vAlign w:val="center"/>
          </w:tcPr>
          <w:p w14:paraId="4699CB3B" w14:textId="2A6D5005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101,4</w:t>
            </w:r>
          </w:p>
        </w:tc>
        <w:tc>
          <w:tcPr>
            <w:tcW w:w="1041" w:type="dxa"/>
            <w:vAlign w:val="center"/>
          </w:tcPr>
          <w:p w14:paraId="15167FF0" w14:textId="735222A5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760,0</w:t>
            </w:r>
          </w:p>
        </w:tc>
        <w:tc>
          <w:tcPr>
            <w:tcW w:w="739" w:type="dxa"/>
            <w:vAlign w:val="center"/>
          </w:tcPr>
          <w:p w14:paraId="1B36C413" w14:textId="28CBF8AA" w:rsidR="00791B56" w:rsidRPr="000F1EDB" w:rsidRDefault="00BB4B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101,4</w:t>
            </w:r>
          </w:p>
        </w:tc>
      </w:tr>
      <w:tr w:rsidR="00791B56" w:rsidRPr="000F1EDB" w14:paraId="603AE24F" w14:textId="77777777" w:rsidTr="00E80713">
        <w:tc>
          <w:tcPr>
            <w:tcW w:w="3282" w:type="dxa"/>
          </w:tcPr>
          <w:p w14:paraId="03E1F5F8" w14:textId="5E764268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0EA5ED42" w14:textId="76D75A33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4513,0</w:t>
            </w:r>
          </w:p>
        </w:tc>
        <w:tc>
          <w:tcPr>
            <w:tcW w:w="975" w:type="dxa"/>
            <w:vAlign w:val="center"/>
          </w:tcPr>
          <w:p w14:paraId="0E8BBF5E" w14:textId="7689FE66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4640,0</w:t>
            </w:r>
          </w:p>
        </w:tc>
        <w:tc>
          <w:tcPr>
            <w:tcW w:w="739" w:type="dxa"/>
            <w:vAlign w:val="center"/>
          </w:tcPr>
          <w:p w14:paraId="22392A14" w14:textId="616AFD24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102,8</w:t>
            </w:r>
          </w:p>
        </w:tc>
        <w:tc>
          <w:tcPr>
            <w:tcW w:w="975" w:type="dxa"/>
            <w:vAlign w:val="center"/>
          </w:tcPr>
          <w:p w14:paraId="06100C33" w14:textId="7D5EFD4A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600,0</w:t>
            </w:r>
          </w:p>
        </w:tc>
        <w:tc>
          <w:tcPr>
            <w:tcW w:w="739" w:type="dxa"/>
            <w:vAlign w:val="center"/>
          </w:tcPr>
          <w:p w14:paraId="30B0A638" w14:textId="467C677F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12,9</w:t>
            </w:r>
          </w:p>
        </w:tc>
        <w:tc>
          <w:tcPr>
            <w:tcW w:w="1041" w:type="dxa"/>
            <w:vAlign w:val="center"/>
          </w:tcPr>
          <w:p w14:paraId="03E573D6" w14:textId="6829EE65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600,0</w:t>
            </w:r>
          </w:p>
        </w:tc>
        <w:tc>
          <w:tcPr>
            <w:tcW w:w="739" w:type="dxa"/>
            <w:vAlign w:val="center"/>
          </w:tcPr>
          <w:p w14:paraId="149982C8" w14:textId="32C95BF5" w:rsidR="00791B56" w:rsidRPr="000F1EDB" w:rsidRDefault="00D93C2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100,0</w:t>
            </w:r>
          </w:p>
        </w:tc>
      </w:tr>
      <w:tr w:rsidR="00791B56" w:rsidRPr="000F1EDB" w14:paraId="60333978" w14:textId="77777777" w:rsidTr="00E80713">
        <w:tc>
          <w:tcPr>
            <w:tcW w:w="3282" w:type="dxa"/>
          </w:tcPr>
          <w:p w14:paraId="45513F25" w14:textId="78705297" w:rsidR="00791B56" w:rsidRPr="000F1EDB" w:rsidRDefault="00791B56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F1EDB">
              <w:rPr>
                <w:rFonts w:ascii="Times New Roman" w:eastAsia="Calibri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58F04FEC" w14:textId="73EB2CAF" w:rsidR="00791B56" w:rsidRPr="000F1EDB" w:rsidRDefault="0069489A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900,0</w:t>
            </w:r>
          </w:p>
        </w:tc>
        <w:tc>
          <w:tcPr>
            <w:tcW w:w="975" w:type="dxa"/>
            <w:vAlign w:val="center"/>
          </w:tcPr>
          <w:p w14:paraId="1636F6A4" w14:textId="4EDBE2BC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950,0</w:t>
            </w:r>
          </w:p>
        </w:tc>
        <w:tc>
          <w:tcPr>
            <w:tcW w:w="739" w:type="dxa"/>
            <w:vAlign w:val="center"/>
          </w:tcPr>
          <w:p w14:paraId="55A0A640" w14:textId="6A13B978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105,6</w:t>
            </w:r>
          </w:p>
        </w:tc>
        <w:tc>
          <w:tcPr>
            <w:tcW w:w="975" w:type="dxa"/>
            <w:vAlign w:val="center"/>
          </w:tcPr>
          <w:p w14:paraId="0F16D9B1" w14:textId="6082E31C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960,0</w:t>
            </w:r>
          </w:p>
        </w:tc>
        <w:tc>
          <w:tcPr>
            <w:tcW w:w="739" w:type="dxa"/>
            <w:vAlign w:val="center"/>
          </w:tcPr>
          <w:p w14:paraId="7AAA191D" w14:textId="6BF1B336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101,1</w:t>
            </w:r>
          </w:p>
        </w:tc>
        <w:tc>
          <w:tcPr>
            <w:tcW w:w="1041" w:type="dxa"/>
            <w:vAlign w:val="center"/>
          </w:tcPr>
          <w:p w14:paraId="6A92681E" w14:textId="5B645E49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0DB12709" w14:textId="5CE83896" w:rsidR="00791B56" w:rsidRPr="000F1EDB" w:rsidRDefault="00684E4E" w:rsidP="000F1ED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104,2</w:t>
            </w:r>
          </w:p>
        </w:tc>
      </w:tr>
    </w:tbl>
    <w:p w14:paraId="61EB421E" w14:textId="77777777" w:rsidR="00CB0A78" w:rsidRDefault="00CB0A78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7D852" w14:textId="6326C89E" w:rsidR="000F1EDB" w:rsidRPr="000F1EDB" w:rsidRDefault="000F1EDB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E84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доходов от использования имущества, находящегося в государственной и муниципальной собственности, в 202</w:t>
      </w:r>
      <w:r w:rsidR="00131EC9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131EC9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1525"/>
        <w:gridCol w:w="1387"/>
        <w:gridCol w:w="1520"/>
        <w:gridCol w:w="1353"/>
      </w:tblGrid>
      <w:tr w:rsidR="000F1EDB" w:rsidRPr="000F1EDB" w14:paraId="1DCD0E3D" w14:textId="77777777" w:rsidTr="001B27DC">
        <w:tc>
          <w:tcPr>
            <w:tcW w:w="3652" w:type="dxa"/>
            <w:vMerge w:val="restart"/>
            <w:vAlign w:val="center"/>
          </w:tcPr>
          <w:p w14:paraId="6D02BEFE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D66041F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DB8D7D3" w14:textId="41364330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B5E8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673CAD31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789659AC" w14:textId="77777777" w:rsidTr="001B27DC">
        <w:tc>
          <w:tcPr>
            <w:tcW w:w="3652" w:type="dxa"/>
            <w:vMerge/>
            <w:vAlign w:val="center"/>
          </w:tcPr>
          <w:p w14:paraId="5EA8010A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3CD664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F99A8A" w14:textId="0E7E6888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8AA5C4D" w14:textId="2B7A788B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AA3CA57" w14:textId="07E7F116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424B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1610345C" w14:textId="77777777" w:rsidTr="001B27DC">
        <w:tc>
          <w:tcPr>
            <w:tcW w:w="3652" w:type="dxa"/>
            <w:vAlign w:val="center"/>
          </w:tcPr>
          <w:p w14:paraId="3AFB153E" w14:textId="5C3DC91A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4D6ACBCE" w14:textId="77250606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3243,0</w:t>
            </w:r>
          </w:p>
        </w:tc>
        <w:tc>
          <w:tcPr>
            <w:tcW w:w="1418" w:type="dxa"/>
            <w:vAlign w:val="center"/>
          </w:tcPr>
          <w:p w14:paraId="15198757" w14:textId="10351ABC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  <w:tc>
          <w:tcPr>
            <w:tcW w:w="1559" w:type="dxa"/>
            <w:vAlign w:val="center"/>
          </w:tcPr>
          <w:p w14:paraId="0F69BE7E" w14:textId="1777DA44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  <w:tc>
          <w:tcPr>
            <w:tcW w:w="1382" w:type="dxa"/>
            <w:vAlign w:val="center"/>
          </w:tcPr>
          <w:p w14:paraId="66BDAFDA" w14:textId="464E0734" w:rsidR="000F1EDB" w:rsidRPr="000F1EDB" w:rsidRDefault="0055417A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4259,0</w:t>
            </w:r>
          </w:p>
        </w:tc>
      </w:tr>
      <w:tr w:rsidR="000F1EDB" w:rsidRPr="000F1EDB" w14:paraId="28CD1F2A" w14:textId="77777777" w:rsidTr="001B27DC">
        <w:tc>
          <w:tcPr>
            <w:tcW w:w="3652" w:type="dxa"/>
            <w:vAlign w:val="center"/>
          </w:tcPr>
          <w:p w14:paraId="06B5720F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9E56B9C" w14:textId="08998EA3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18" w:type="dxa"/>
            <w:vAlign w:val="center"/>
          </w:tcPr>
          <w:p w14:paraId="715E286B" w14:textId="015EAAE8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vAlign w:val="center"/>
          </w:tcPr>
          <w:p w14:paraId="44418EAD" w14:textId="73E1757F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382" w:type="dxa"/>
            <w:vAlign w:val="center"/>
          </w:tcPr>
          <w:p w14:paraId="220B5BCA" w14:textId="1A8CEB17" w:rsidR="000F1EDB" w:rsidRPr="000F1EDB" w:rsidRDefault="005E2548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</w:tr>
      <w:tr w:rsidR="000F1EDB" w:rsidRPr="000F1EDB" w14:paraId="29BCFCC5" w14:textId="77777777" w:rsidTr="001B27DC">
        <w:tc>
          <w:tcPr>
            <w:tcW w:w="3652" w:type="dxa"/>
            <w:vAlign w:val="center"/>
          </w:tcPr>
          <w:p w14:paraId="60314C5F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E4BC89A" w14:textId="50A69262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1126,2</w:t>
            </w:r>
          </w:p>
        </w:tc>
        <w:tc>
          <w:tcPr>
            <w:tcW w:w="1418" w:type="dxa"/>
            <w:vAlign w:val="center"/>
          </w:tcPr>
          <w:p w14:paraId="1C5BB1F6" w14:textId="5559BF8B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1559" w:type="dxa"/>
            <w:vAlign w:val="center"/>
          </w:tcPr>
          <w:p w14:paraId="04C6E112" w14:textId="244CDA8C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5CB51394" w14:textId="76CD7125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0F1EDB" w:rsidRPr="000F1EDB" w14:paraId="19FD2294" w14:textId="77777777" w:rsidTr="001B27DC">
        <w:tc>
          <w:tcPr>
            <w:tcW w:w="3652" w:type="dxa"/>
            <w:vAlign w:val="center"/>
          </w:tcPr>
          <w:p w14:paraId="5239C989" w14:textId="77777777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DF580E9" w14:textId="6F85BF7F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1418" w:type="dxa"/>
            <w:vAlign w:val="center"/>
          </w:tcPr>
          <w:p w14:paraId="1E5F32F4" w14:textId="67CE005A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59" w:type="dxa"/>
            <w:vAlign w:val="center"/>
          </w:tcPr>
          <w:p w14:paraId="453278FB" w14:textId="23A4ABB7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3C5813D2" w14:textId="2FC6FA15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0F1EDB" w:rsidRPr="000F1EDB" w14:paraId="36BD3DB8" w14:textId="77777777" w:rsidTr="001B27DC">
        <w:tc>
          <w:tcPr>
            <w:tcW w:w="3652" w:type="dxa"/>
            <w:vAlign w:val="center"/>
          </w:tcPr>
          <w:p w14:paraId="1F243F97" w14:textId="636B81DE" w:rsidR="000F1EDB" w:rsidRPr="000F1EDB" w:rsidRDefault="000F1EDB" w:rsidP="009049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90498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4CA843B2" w14:textId="77777777" w:rsidR="000F1EDB" w:rsidRPr="000F1EDB" w:rsidRDefault="000F1EDB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E39D436" w14:textId="599BAFE1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59" w:type="dxa"/>
            <w:vAlign w:val="center"/>
          </w:tcPr>
          <w:p w14:paraId="3B8EFF92" w14:textId="5FCCEEEC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382" w:type="dxa"/>
            <w:vAlign w:val="center"/>
          </w:tcPr>
          <w:p w14:paraId="77EF69DD" w14:textId="3B57345D" w:rsidR="000F1EDB" w:rsidRPr="000F1EDB" w:rsidRDefault="00F16367" w:rsidP="00904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131,3</w:t>
            </w:r>
          </w:p>
        </w:tc>
      </w:tr>
    </w:tbl>
    <w:p w14:paraId="562FE937" w14:textId="77777777" w:rsidR="00CB0A78" w:rsidRDefault="00CB0A7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58E31" w14:textId="1954683F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202</w:t>
      </w:r>
      <w:r w:rsidR="004C7808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4C7808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 составляет 1</w:t>
      </w:r>
      <w:r w:rsidR="004C7808">
        <w:rPr>
          <w:rFonts w:ascii="Times New Roman" w:eastAsia="Calibri" w:hAnsi="Times New Roman" w:cs="Times New Roman"/>
          <w:sz w:val="28"/>
          <w:szCs w:val="28"/>
        </w:rPr>
        <w:t>31</w:t>
      </w:r>
      <w:r w:rsidRPr="000F1EDB">
        <w:rPr>
          <w:rFonts w:ascii="Times New Roman" w:eastAsia="Calibri" w:hAnsi="Times New Roman" w:cs="Times New Roman"/>
          <w:sz w:val="28"/>
          <w:szCs w:val="28"/>
        </w:rPr>
        <w:t>,</w:t>
      </w:r>
      <w:r w:rsidR="004C7808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B5CB92E" w14:textId="633DE394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13360C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65578BBD" w14:textId="6660CD5E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2021 год прогнозируются на уровне 2020 года в сумме 45,0 тыс. рублей, на плановый период 2022-2023 годов в сумме 46,0 тыс. рублей, 47,0 тыс. рублей соответственно. </w:t>
      </w:r>
    </w:p>
    <w:p w14:paraId="2AB3756D" w14:textId="41ACAE1D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06E5F" w14:textId="5DB6F233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67780" w14:textId="31D355B3" w:rsidR="005E2548" w:rsidRDefault="005E2548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8CAAB" w14:textId="5C740386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поступлений платежей при пользовании природными ресурсами в 202</w:t>
      </w:r>
      <w:r w:rsidR="00F66724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F66724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0F1EDB" w:rsidRPr="000F1EDB" w14:paraId="6543EBE1" w14:textId="77777777" w:rsidTr="001B27DC">
        <w:tc>
          <w:tcPr>
            <w:tcW w:w="3652" w:type="dxa"/>
            <w:vMerge w:val="restart"/>
            <w:vAlign w:val="center"/>
          </w:tcPr>
          <w:p w14:paraId="02A3E960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53CC6E3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7A6E974" w14:textId="55DEF092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956E2B5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5FB8B03F" w14:textId="77777777" w:rsidTr="001B27DC">
        <w:tc>
          <w:tcPr>
            <w:tcW w:w="3652" w:type="dxa"/>
            <w:vMerge/>
            <w:vAlign w:val="center"/>
          </w:tcPr>
          <w:p w14:paraId="79BD046E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35FED2A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1A522D" w14:textId="354301A4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6CF7417" w14:textId="0A28CB7E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0FA59E5B" w14:textId="327A0E16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37D9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63EEA84B" w14:textId="77777777" w:rsidTr="001B27DC">
        <w:tc>
          <w:tcPr>
            <w:tcW w:w="3652" w:type="dxa"/>
            <w:vAlign w:val="center"/>
          </w:tcPr>
          <w:p w14:paraId="4B4E3AA7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132CE360" w14:textId="3AD366BC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14:paraId="3C1B9106" w14:textId="6925783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14:paraId="08976109" w14:textId="6908E76D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14:paraId="32723F2E" w14:textId="0B71A389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:rsidR="000F1EDB" w:rsidRPr="000F1EDB" w14:paraId="60EFECEA" w14:textId="77777777" w:rsidTr="001B27DC">
        <w:tc>
          <w:tcPr>
            <w:tcW w:w="3652" w:type="dxa"/>
            <w:vAlign w:val="center"/>
          </w:tcPr>
          <w:p w14:paraId="55BB2441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076AB7BF" w14:textId="25BFA250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14:paraId="2417BD9B" w14:textId="6B3D47BD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14:paraId="3DD1A505" w14:textId="502C47D7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14:paraId="2EB4961F" w14:textId="2737C11D" w:rsidR="000F1EDB" w:rsidRPr="000F1EDB" w:rsidRDefault="007D387C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</w:tr>
      <w:tr w:rsidR="000F1EDB" w:rsidRPr="000F1EDB" w14:paraId="6F7A7883" w14:textId="77777777" w:rsidTr="001B27DC">
        <w:tc>
          <w:tcPr>
            <w:tcW w:w="3652" w:type="dxa"/>
            <w:vAlign w:val="center"/>
          </w:tcPr>
          <w:p w14:paraId="6F60BC0D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D1B1FE7" w14:textId="396B0FD4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-11,2</w:t>
            </w:r>
          </w:p>
        </w:tc>
        <w:tc>
          <w:tcPr>
            <w:tcW w:w="1418" w:type="dxa"/>
            <w:vAlign w:val="center"/>
          </w:tcPr>
          <w:p w14:paraId="44A3D163" w14:textId="7C09045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14:paraId="5BA48F2A" w14:textId="7C287453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14:paraId="5315340B" w14:textId="0D3F6021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0F1EDB" w:rsidRPr="000F1EDB" w14:paraId="25B38CFA" w14:textId="77777777" w:rsidTr="001B27DC">
        <w:tc>
          <w:tcPr>
            <w:tcW w:w="3652" w:type="dxa"/>
            <w:vAlign w:val="center"/>
          </w:tcPr>
          <w:p w14:paraId="486E36B8" w14:textId="77777777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73617DF" w14:textId="7581879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8" w:type="dxa"/>
            <w:vAlign w:val="center"/>
          </w:tcPr>
          <w:p w14:paraId="013E967D" w14:textId="164D1BB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14:paraId="591FF008" w14:textId="54B7885B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14:paraId="39484CB5" w14:textId="5C1CB21A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</w:tr>
      <w:tr w:rsidR="000F1EDB" w:rsidRPr="000F1EDB" w14:paraId="582672CE" w14:textId="77777777" w:rsidTr="001B27DC">
        <w:tc>
          <w:tcPr>
            <w:tcW w:w="3652" w:type="dxa"/>
            <w:vAlign w:val="center"/>
          </w:tcPr>
          <w:p w14:paraId="743428C3" w14:textId="12A91661" w:rsidR="000F1EDB" w:rsidRPr="000F1EDB" w:rsidRDefault="000F1EDB" w:rsidP="00176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176F7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00CA7CB" w14:textId="77777777" w:rsidR="000F1EDB" w:rsidRPr="000F1EDB" w:rsidRDefault="000F1EDB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08DE066" w14:textId="65E65D3F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14:paraId="6DE69819" w14:textId="1A5B7934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82" w:type="dxa"/>
            <w:vAlign w:val="center"/>
          </w:tcPr>
          <w:p w14:paraId="4265D844" w14:textId="0897E4D9" w:rsidR="000F1EDB" w:rsidRPr="000F1EDB" w:rsidRDefault="00ED0B97" w:rsidP="00176F7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144,0</w:t>
            </w:r>
          </w:p>
        </w:tc>
      </w:tr>
    </w:tbl>
    <w:p w14:paraId="2163CDF9" w14:textId="462E5E3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на 202</w:t>
      </w:r>
      <w:r w:rsidR="0001163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предусматриваются в сумме </w:t>
      </w:r>
      <w:r w:rsidR="0001163A">
        <w:rPr>
          <w:rFonts w:ascii="Times New Roman" w:eastAsia="Calibri" w:hAnsi="Times New Roman" w:cs="Times New Roman"/>
          <w:sz w:val="28"/>
          <w:szCs w:val="28"/>
        </w:rPr>
        <w:t>30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что на 5,0 тыс. рублей, или на </w:t>
      </w:r>
      <w:r w:rsidR="0001163A">
        <w:rPr>
          <w:rFonts w:ascii="Times New Roman" w:eastAsia="Calibri" w:hAnsi="Times New Roman" w:cs="Times New Roman"/>
          <w:sz w:val="28"/>
          <w:szCs w:val="28"/>
        </w:rPr>
        <w:t>20</w:t>
      </w:r>
      <w:r w:rsidRPr="000F1EDB">
        <w:rPr>
          <w:rFonts w:ascii="Times New Roman" w:eastAsia="Calibri" w:hAnsi="Times New Roman" w:cs="Times New Roman"/>
          <w:sz w:val="28"/>
          <w:szCs w:val="28"/>
        </w:rPr>
        <w:t>,0 % выше ожидаемой оценки 202</w:t>
      </w:r>
      <w:r w:rsidR="0001163A">
        <w:rPr>
          <w:rFonts w:ascii="Times New Roman" w:eastAsia="Calibri" w:hAnsi="Times New Roman" w:cs="Times New Roman"/>
          <w:sz w:val="28"/>
          <w:szCs w:val="28"/>
        </w:rPr>
        <w:t>1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0CE195BD" w14:textId="4FF71BE1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1E2A5E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E2A5E">
        <w:rPr>
          <w:rFonts w:ascii="Times New Roman" w:eastAsia="Calibri" w:hAnsi="Times New Roman" w:cs="Times New Roman"/>
          <w:sz w:val="28"/>
          <w:szCs w:val="28"/>
        </w:rPr>
        <w:t>35,0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E2A5E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E2A5E">
        <w:rPr>
          <w:rFonts w:ascii="Times New Roman" w:eastAsia="Calibri" w:hAnsi="Times New Roman" w:cs="Times New Roman"/>
          <w:sz w:val="28"/>
          <w:szCs w:val="28"/>
        </w:rPr>
        <w:t>36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1E2A5E">
        <w:rPr>
          <w:rFonts w:ascii="Times New Roman" w:eastAsia="Calibri" w:hAnsi="Times New Roman" w:cs="Times New Roman"/>
          <w:sz w:val="28"/>
          <w:szCs w:val="28"/>
        </w:rPr>
        <w:t>116,7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1E2A5E">
        <w:rPr>
          <w:rFonts w:ascii="Times New Roman" w:eastAsia="Calibri" w:hAnsi="Times New Roman" w:cs="Times New Roman"/>
          <w:sz w:val="28"/>
          <w:szCs w:val="28"/>
        </w:rPr>
        <w:t>102,9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780155" w14:textId="1A212D2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Динамика доходов от оказания платных услуг (работ) и компенсации </w:t>
      </w:r>
    </w:p>
    <w:p w14:paraId="30D81763" w14:textId="2CCE77EF" w:rsidR="000F1EDB" w:rsidRPr="000F1EDB" w:rsidRDefault="000F1EDB" w:rsidP="000F1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затрат государства в 202</w:t>
      </w:r>
      <w:r w:rsidR="0033434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33434A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p w14:paraId="6D05EDF4" w14:textId="77777777" w:rsidR="000F1EDB" w:rsidRPr="000F1EDB" w:rsidRDefault="000F1EDB" w:rsidP="000F1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1530"/>
        <w:gridCol w:w="1385"/>
        <w:gridCol w:w="1519"/>
        <w:gridCol w:w="1351"/>
      </w:tblGrid>
      <w:tr w:rsidR="000F1EDB" w:rsidRPr="000F1EDB" w14:paraId="0368EEF1" w14:textId="77777777" w:rsidTr="001B27DC">
        <w:tc>
          <w:tcPr>
            <w:tcW w:w="3652" w:type="dxa"/>
            <w:vMerge w:val="restart"/>
            <w:vAlign w:val="center"/>
          </w:tcPr>
          <w:p w14:paraId="1786A44D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359DECA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C4A36E" w14:textId="218B5E88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7BE87B5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53A17857" w14:textId="77777777" w:rsidTr="001B27DC">
        <w:tc>
          <w:tcPr>
            <w:tcW w:w="3652" w:type="dxa"/>
            <w:vMerge/>
            <w:vAlign w:val="center"/>
          </w:tcPr>
          <w:p w14:paraId="6BA35243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397D5D0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F287F9" w14:textId="41394582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D57153A" w14:textId="3AECF081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0D62DA3" w14:textId="7D103AA1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4182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58504A75" w14:textId="77777777" w:rsidTr="001B27DC">
        <w:tc>
          <w:tcPr>
            <w:tcW w:w="3652" w:type="dxa"/>
            <w:vAlign w:val="center"/>
          </w:tcPr>
          <w:p w14:paraId="74928F4C" w14:textId="783C5362" w:rsidR="000F1EDB" w:rsidRPr="000F1EDB" w:rsidRDefault="000F1EDB" w:rsidP="008D35E7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Доходы от оказания платных услуг (работ) и компенсации </w:t>
            </w:r>
          </w:p>
          <w:p w14:paraId="359053D1" w14:textId="3D57C915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7CEC407B" w14:textId="17752A5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1418" w:type="dxa"/>
            <w:vAlign w:val="center"/>
          </w:tcPr>
          <w:p w14:paraId="0E729A6F" w14:textId="7D40261D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740,0</w:t>
            </w:r>
          </w:p>
        </w:tc>
        <w:tc>
          <w:tcPr>
            <w:tcW w:w="1559" w:type="dxa"/>
            <w:vAlign w:val="center"/>
          </w:tcPr>
          <w:p w14:paraId="5D9B4F97" w14:textId="565F782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382" w:type="dxa"/>
            <w:vAlign w:val="center"/>
          </w:tcPr>
          <w:p w14:paraId="2A4947B2" w14:textId="36BB3674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760,0</w:t>
            </w:r>
          </w:p>
        </w:tc>
      </w:tr>
      <w:tr w:rsidR="000F1EDB" w:rsidRPr="000F1EDB" w14:paraId="004A3F54" w14:textId="77777777" w:rsidTr="001B27DC">
        <w:tc>
          <w:tcPr>
            <w:tcW w:w="3652" w:type="dxa"/>
            <w:vAlign w:val="center"/>
          </w:tcPr>
          <w:p w14:paraId="1B455FB2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F74E670" w14:textId="2DE089C2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14:paraId="52B9280F" w14:textId="440378E1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14:paraId="2442AB55" w14:textId="2EEBA5C2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82" w:type="dxa"/>
            <w:vAlign w:val="center"/>
          </w:tcPr>
          <w:p w14:paraId="2CB3943A" w14:textId="29E341ED" w:rsidR="000F1EDB" w:rsidRPr="000F1EDB" w:rsidRDefault="008662FC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</w:tr>
      <w:tr w:rsidR="000F1EDB" w:rsidRPr="000F1EDB" w14:paraId="369F13CE" w14:textId="77777777" w:rsidTr="001B27DC">
        <w:tc>
          <w:tcPr>
            <w:tcW w:w="3652" w:type="dxa"/>
            <w:vAlign w:val="center"/>
          </w:tcPr>
          <w:p w14:paraId="3B6C2D37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00F7D8F" w14:textId="133127F3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  <w:vAlign w:val="center"/>
          </w:tcPr>
          <w:p w14:paraId="2D50B25D" w14:textId="130CD9BA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14:paraId="0BD76458" w14:textId="5C3B668A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14:paraId="61312D2D" w14:textId="798FB053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0F1EDB" w:rsidRPr="000F1EDB" w14:paraId="2F3F3113" w14:textId="77777777" w:rsidTr="001B27DC">
        <w:tc>
          <w:tcPr>
            <w:tcW w:w="3652" w:type="dxa"/>
            <w:vAlign w:val="center"/>
          </w:tcPr>
          <w:p w14:paraId="0FC7945D" w14:textId="77777777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693750B" w14:textId="77C577A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418" w:type="dxa"/>
            <w:vAlign w:val="center"/>
          </w:tcPr>
          <w:p w14:paraId="11FE2F38" w14:textId="039FB2B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14:paraId="5F663382" w14:textId="0A9B3B76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382" w:type="dxa"/>
            <w:vAlign w:val="center"/>
          </w:tcPr>
          <w:p w14:paraId="6ED2FCF5" w14:textId="6B9FDE37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101,3</w:t>
            </w:r>
          </w:p>
        </w:tc>
      </w:tr>
      <w:tr w:rsidR="000F1EDB" w:rsidRPr="000F1EDB" w14:paraId="44ED45F3" w14:textId="77777777" w:rsidTr="001B27DC">
        <w:tc>
          <w:tcPr>
            <w:tcW w:w="3652" w:type="dxa"/>
            <w:vAlign w:val="center"/>
          </w:tcPr>
          <w:p w14:paraId="264A794D" w14:textId="782F1643" w:rsidR="000F1EDB" w:rsidRPr="000F1EDB" w:rsidRDefault="000F1EDB" w:rsidP="008D35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8D35E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21C38D2" w14:textId="77777777" w:rsidR="000F1EDB" w:rsidRPr="000F1EDB" w:rsidRDefault="000F1EDB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FBC8C74" w14:textId="012D49F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14:paraId="5F6538DF" w14:textId="281592AE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382" w:type="dxa"/>
            <w:vAlign w:val="center"/>
          </w:tcPr>
          <w:p w14:paraId="4943B115" w14:textId="7BF86310" w:rsidR="000F1EDB" w:rsidRPr="000F1EDB" w:rsidRDefault="00B73035" w:rsidP="008D35E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</w:tr>
    </w:tbl>
    <w:p w14:paraId="1134329C" w14:textId="695E525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</w:t>
      </w:r>
      <w:r w:rsidR="00A00F3A">
        <w:rPr>
          <w:rFonts w:ascii="Times New Roman" w:eastAsia="Calibri" w:hAnsi="Times New Roman" w:cs="Times New Roman"/>
          <w:sz w:val="28"/>
          <w:szCs w:val="28"/>
        </w:rPr>
        <w:t>оказания платных услуг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A00F3A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740,0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A00F3A">
        <w:rPr>
          <w:rFonts w:ascii="Times New Roman" w:eastAsia="Calibri" w:hAnsi="Times New Roman" w:cs="Times New Roman"/>
          <w:sz w:val="28"/>
          <w:szCs w:val="28"/>
        </w:rPr>
        <w:t>0,7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показателя бюджета.  </w:t>
      </w:r>
    </w:p>
    <w:p w14:paraId="1A86384E" w14:textId="09C7BB0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A00F3A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750,0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A00F3A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760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916315" w:rsidRPr="00916315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916315">
        <w:rPr>
          <w:rFonts w:ascii="Times New Roman" w:hAnsi="Times New Roman" w:cs="Times New Roman"/>
          <w:sz w:val="28"/>
          <w:szCs w:val="28"/>
        </w:rPr>
        <w:t>21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916315">
        <w:rPr>
          <w:rFonts w:ascii="Times New Roman" w:hAnsi="Times New Roman" w:cs="Times New Roman"/>
          <w:sz w:val="28"/>
          <w:szCs w:val="28"/>
        </w:rPr>
        <w:t>4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16315">
        <w:rPr>
          <w:rFonts w:ascii="Times New Roman" w:hAnsi="Times New Roman" w:cs="Times New Roman"/>
          <w:sz w:val="28"/>
          <w:szCs w:val="28"/>
        </w:rPr>
        <w:t>103,4 процента</w:t>
      </w:r>
      <w:r w:rsidR="00916315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2A2AD391" w14:textId="07DF37CA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Динамика доходов от продажи материальных и нематериальных активов в 202</w:t>
      </w:r>
      <w:r w:rsidR="00FC4D69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FC4D69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1526"/>
        <w:gridCol w:w="1388"/>
        <w:gridCol w:w="1521"/>
        <w:gridCol w:w="1347"/>
      </w:tblGrid>
      <w:tr w:rsidR="000F1EDB" w:rsidRPr="000F1EDB" w14:paraId="66D96DE8" w14:textId="77777777" w:rsidTr="001B27DC">
        <w:tc>
          <w:tcPr>
            <w:tcW w:w="3652" w:type="dxa"/>
            <w:vMerge w:val="restart"/>
            <w:vAlign w:val="center"/>
          </w:tcPr>
          <w:p w14:paraId="4803233D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B6BB287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2DACB6F1" w14:textId="5F657A59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5F3037B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0CD859FE" w14:textId="77777777" w:rsidTr="001B27DC">
        <w:tc>
          <w:tcPr>
            <w:tcW w:w="3652" w:type="dxa"/>
            <w:vMerge/>
            <w:vAlign w:val="center"/>
          </w:tcPr>
          <w:p w14:paraId="3E5A5085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CFE618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AF026" w14:textId="3166C1C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99BBBF1" w14:textId="6D9F3B95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685FA18" w14:textId="5894414D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4D6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0085D94C" w14:textId="77777777" w:rsidTr="001B27DC">
        <w:tc>
          <w:tcPr>
            <w:tcW w:w="3652" w:type="dxa"/>
            <w:vAlign w:val="center"/>
          </w:tcPr>
          <w:p w14:paraId="63010EB5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3A9E20C1" w14:textId="304D3594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4513,0</w:t>
            </w:r>
          </w:p>
        </w:tc>
        <w:tc>
          <w:tcPr>
            <w:tcW w:w="1418" w:type="dxa"/>
            <w:vAlign w:val="center"/>
          </w:tcPr>
          <w:p w14:paraId="5F5B4E46" w14:textId="720600F7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4640,0</w:t>
            </w:r>
          </w:p>
        </w:tc>
        <w:tc>
          <w:tcPr>
            <w:tcW w:w="1559" w:type="dxa"/>
            <w:vAlign w:val="center"/>
          </w:tcPr>
          <w:p w14:paraId="4CD6BC2E" w14:textId="4A4EBC6C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382" w:type="dxa"/>
            <w:vAlign w:val="center"/>
          </w:tcPr>
          <w:p w14:paraId="64FE0800" w14:textId="6CFA1643" w:rsidR="000F1EDB" w:rsidRPr="000F1EDB" w:rsidRDefault="00793C7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0F1EDB" w:rsidRPr="000F1EDB" w14:paraId="25B43DC7" w14:textId="77777777" w:rsidTr="001B27DC">
        <w:tc>
          <w:tcPr>
            <w:tcW w:w="3652" w:type="dxa"/>
            <w:vAlign w:val="center"/>
          </w:tcPr>
          <w:p w14:paraId="29EDDE4D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575F177" w14:textId="48850678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418" w:type="dxa"/>
            <w:vAlign w:val="center"/>
          </w:tcPr>
          <w:p w14:paraId="38BD17C4" w14:textId="73E4F2F5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vAlign w:val="center"/>
          </w:tcPr>
          <w:p w14:paraId="49459EDE" w14:textId="5D5DF8C4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82" w:type="dxa"/>
            <w:vAlign w:val="center"/>
          </w:tcPr>
          <w:p w14:paraId="0EEC98F2" w14:textId="18E7AAAD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9,0</w:t>
            </w:r>
          </w:p>
        </w:tc>
      </w:tr>
      <w:tr w:rsidR="000F1EDB" w:rsidRPr="000F1EDB" w14:paraId="5F7106AA" w14:textId="77777777" w:rsidTr="001B27DC">
        <w:tc>
          <w:tcPr>
            <w:tcW w:w="3652" w:type="dxa"/>
            <w:vAlign w:val="center"/>
          </w:tcPr>
          <w:p w14:paraId="0EB2C82C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BB60165" w14:textId="0A5E06DE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418" w:type="dxa"/>
            <w:vAlign w:val="center"/>
          </w:tcPr>
          <w:p w14:paraId="10606F7D" w14:textId="67ACC878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559" w:type="dxa"/>
            <w:vAlign w:val="center"/>
          </w:tcPr>
          <w:p w14:paraId="5EA1C22F" w14:textId="4ADC5E34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4040,0</w:t>
            </w:r>
          </w:p>
        </w:tc>
        <w:tc>
          <w:tcPr>
            <w:tcW w:w="1382" w:type="dxa"/>
            <w:vAlign w:val="center"/>
          </w:tcPr>
          <w:p w14:paraId="7EA3729E" w14:textId="3DB91C75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0F1EDB" w:rsidRPr="000F1EDB" w14:paraId="7C221648" w14:textId="77777777" w:rsidTr="001B27DC">
        <w:tc>
          <w:tcPr>
            <w:tcW w:w="3652" w:type="dxa"/>
            <w:vAlign w:val="center"/>
          </w:tcPr>
          <w:p w14:paraId="0E199DEC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7CC2B5F" w14:textId="3F59FD5F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8" w:type="dxa"/>
            <w:vAlign w:val="center"/>
          </w:tcPr>
          <w:p w14:paraId="3EA89DAC" w14:textId="02503969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59" w:type="dxa"/>
            <w:vAlign w:val="center"/>
          </w:tcPr>
          <w:p w14:paraId="65B5B83B" w14:textId="6C872BF1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82" w:type="dxa"/>
            <w:vAlign w:val="center"/>
          </w:tcPr>
          <w:p w14:paraId="0769AD18" w14:textId="50371D2C" w:rsidR="000F1EDB" w:rsidRPr="000F1EDB" w:rsidRDefault="004B1BC8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0F1EDB" w:rsidRPr="000F1EDB" w14:paraId="0DDAC2C4" w14:textId="77777777" w:rsidTr="001B27DC">
        <w:tc>
          <w:tcPr>
            <w:tcW w:w="3652" w:type="dxa"/>
            <w:vAlign w:val="center"/>
          </w:tcPr>
          <w:p w14:paraId="42BDBA92" w14:textId="3FC58438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882AD9" w:rsidRPr="0090498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3AB5AF8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FCD8D18" w14:textId="68CFA99F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59" w:type="dxa"/>
            <w:vAlign w:val="center"/>
          </w:tcPr>
          <w:p w14:paraId="6BAAC9FA" w14:textId="57723124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82" w:type="dxa"/>
            <w:vAlign w:val="center"/>
          </w:tcPr>
          <w:p w14:paraId="12136A1E" w14:textId="6720CE60" w:rsidR="000F1EDB" w:rsidRPr="000F1EDB" w:rsidRDefault="009642C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</w:tr>
    </w:tbl>
    <w:p w14:paraId="56267741" w14:textId="47C2C4AA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неналоговых доходов в прогнозе бюджета на 202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– </w:t>
      </w:r>
      <w:r w:rsidR="006D3EC3">
        <w:rPr>
          <w:rFonts w:ascii="Times New Roman" w:eastAsia="Calibri" w:hAnsi="Times New Roman" w:cs="Times New Roman"/>
          <w:sz w:val="28"/>
          <w:szCs w:val="28"/>
        </w:rPr>
        <w:t>43,7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4640,0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60</w:t>
      </w:r>
      <w:r w:rsidRPr="000F1EDB">
        <w:rPr>
          <w:rFonts w:ascii="Times New Roman" w:eastAsia="Calibri" w:hAnsi="Times New Roman" w:cs="Times New Roman"/>
          <w:sz w:val="28"/>
          <w:szCs w:val="28"/>
        </w:rPr>
        <w:t>0,0 тыс. рублей, в 202</w:t>
      </w:r>
      <w:r w:rsidR="006D3EC3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D3EC3">
        <w:rPr>
          <w:rFonts w:ascii="Times New Roman" w:eastAsia="Calibri" w:hAnsi="Times New Roman" w:cs="Times New Roman"/>
          <w:sz w:val="28"/>
          <w:szCs w:val="28"/>
        </w:rPr>
        <w:t>60</w:t>
      </w:r>
      <w:r w:rsidRPr="000F1EDB">
        <w:rPr>
          <w:rFonts w:ascii="Times New Roman" w:eastAsia="Calibri" w:hAnsi="Times New Roman" w:cs="Times New Roman"/>
          <w:sz w:val="28"/>
          <w:szCs w:val="28"/>
        </w:rPr>
        <w:t>0,0 тыс. рублей. Темп роста к предыдущему году составляет 10</w:t>
      </w:r>
      <w:r w:rsidR="006D3EC3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,</w:t>
      </w:r>
      <w:r w:rsidR="006D3EC3">
        <w:rPr>
          <w:rFonts w:ascii="Times New Roman" w:eastAsia="Calibri" w:hAnsi="Times New Roman" w:cs="Times New Roman"/>
          <w:sz w:val="28"/>
          <w:szCs w:val="28"/>
        </w:rPr>
        <w:t>8</w:t>
      </w:r>
      <w:r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12,9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3EC3">
        <w:rPr>
          <w:rFonts w:ascii="Times New Roman" w:eastAsia="Calibri" w:hAnsi="Times New Roman" w:cs="Times New Roman"/>
          <w:sz w:val="28"/>
          <w:szCs w:val="28"/>
        </w:rPr>
        <w:t>100,0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CB9E869" w14:textId="7E50B9D6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Динамика доходов от штрафных санкций и возмещения ущерба в 202</w:t>
      </w:r>
      <w:r w:rsidR="00A56260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A56260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530"/>
        <w:gridCol w:w="1385"/>
        <w:gridCol w:w="1519"/>
        <w:gridCol w:w="1357"/>
      </w:tblGrid>
      <w:tr w:rsidR="000F1EDB" w:rsidRPr="000F1EDB" w14:paraId="47D38DFB" w14:textId="77777777" w:rsidTr="001B27DC">
        <w:tc>
          <w:tcPr>
            <w:tcW w:w="3652" w:type="dxa"/>
            <w:vMerge w:val="restart"/>
            <w:vAlign w:val="center"/>
          </w:tcPr>
          <w:p w14:paraId="2315B7EC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3D9FEB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E2CC347" w14:textId="48A80C6D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64C4A84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F1EDB" w:rsidRPr="000F1EDB" w14:paraId="2A0CEC14" w14:textId="77777777" w:rsidTr="001B27DC">
        <w:tc>
          <w:tcPr>
            <w:tcW w:w="3652" w:type="dxa"/>
            <w:vMerge/>
            <w:vAlign w:val="center"/>
          </w:tcPr>
          <w:p w14:paraId="19FAC2D5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112764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210224" w14:textId="5C53A44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A5BFE9D" w14:textId="0BBE65B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46439737" w14:textId="0EE935A6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F1EDB" w:rsidRPr="000F1EDB" w14:paraId="062FD0DB" w14:textId="77777777" w:rsidTr="001B27DC">
        <w:tc>
          <w:tcPr>
            <w:tcW w:w="3652" w:type="dxa"/>
            <w:vAlign w:val="center"/>
          </w:tcPr>
          <w:p w14:paraId="4CC97F9A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69310398" w14:textId="4A6A552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center"/>
          </w:tcPr>
          <w:p w14:paraId="1863D775" w14:textId="6D936C13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559" w:type="dxa"/>
            <w:vAlign w:val="center"/>
          </w:tcPr>
          <w:p w14:paraId="494D52EF" w14:textId="20A32652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382" w:type="dxa"/>
            <w:vAlign w:val="center"/>
          </w:tcPr>
          <w:p w14:paraId="367373D7" w14:textId="6F249DC4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0F1EDB" w:rsidRPr="000F1EDB" w14:paraId="4B091766" w14:textId="77777777" w:rsidTr="001B27DC">
        <w:tc>
          <w:tcPr>
            <w:tcW w:w="3652" w:type="dxa"/>
            <w:vAlign w:val="center"/>
          </w:tcPr>
          <w:p w14:paraId="736C1B8D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569E0B1" w14:textId="788BEB0E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  <w:vAlign w:val="center"/>
          </w:tcPr>
          <w:p w14:paraId="19DDB281" w14:textId="505D42BD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14:paraId="6915CE49" w14:textId="25213CE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82" w:type="dxa"/>
            <w:vAlign w:val="center"/>
          </w:tcPr>
          <w:p w14:paraId="0497B50B" w14:textId="61A18999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</w:tr>
      <w:tr w:rsidR="000F1EDB" w:rsidRPr="000F1EDB" w14:paraId="4A09919F" w14:textId="77777777" w:rsidTr="001B27DC">
        <w:tc>
          <w:tcPr>
            <w:tcW w:w="3652" w:type="dxa"/>
            <w:vAlign w:val="center"/>
          </w:tcPr>
          <w:p w14:paraId="36D38AEF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C85B55C" w14:textId="0D582920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608B6FA6" w14:textId="2CD9AC5C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14:paraId="60471C6D" w14:textId="01CF299F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14:paraId="231A7BBC" w14:textId="6CF0E0B2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40,0</w:t>
            </w:r>
          </w:p>
        </w:tc>
      </w:tr>
      <w:tr w:rsidR="000F1EDB" w:rsidRPr="000F1EDB" w14:paraId="6801AFA7" w14:textId="77777777" w:rsidTr="001B27DC">
        <w:tc>
          <w:tcPr>
            <w:tcW w:w="3652" w:type="dxa"/>
            <w:vAlign w:val="center"/>
          </w:tcPr>
          <w:p w14:paraId="6C244EAF" w14:textId="77777777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7EB8C2E" w14:textId="0C266CFC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418" w:type="dxa"/>
            <w:vAlign w:val="center"/>
          </w:tcPr>
          <w:p w14:paraId="326D9D40" w14:textId="62BF839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14:paraId="3236603D" w14:textId="0E855284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14:paraId="6B16E2A4" w14:textId="011524A7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104,2</w:t>
            </w:r>
          </w:p>
        </w:tc>
      </w:tr>
      <w:tr w:rsidR="000F1EDB" w:rsidRPr="000F1EDB" w14:paraId="5F1E44A3" w14:textId="77777777" w:rsidTr="001B27DC">
        <w:tc>
          <w:tcPr>
            <w:tcW w:w="3652" w:type="dxa"/>
            <w:vAlign w:val="center"/>
          </w:tcPr>
          <w:p w14:paraId="23BC8019" w14:textId="78298AF6" w:rsidR="000F1EDB" w:rsidRPr="000F1EDB" w:rsidRDefault="000F1EDB" w:rsidP="003B4C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E977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18AFE2D" w14:textId="77777777" w:rsidR="000F1EDB" w:rsidRPr="000F1EDB" w:rsidRDefault="000F1EDB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1EDB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C45B594" w14:textId="6554DCB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59" w:type="dxa"/>
            <w:vAlign w:val="center"/>
          </w:tcPr>
          <w:p w14:paraId="3953AF34" w14:textId="52B981CB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14:paraId="5A753FD2" w14:textId="3C6C12CA" w:rsidR="000F1EDB" w:rsidRPr="000F1EDB" w:rsidRDefault="00EB5DB5" w:rsidP="003B4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111,1</w:t>
            </w:r>
          </w:p>
        </w:tc>
      </w:tr>
    </w:tbl>
    <w:p w14:paraId="273C09E4" w14:textId="77777777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73C48" w14:textId="223C3734" w:rsidR="002764BB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2022 год на долю штрафов, санкций, возмещения ущерба приходится 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263BA0">
        <w:rPr>
          <w:rFonts w:ascii="Times New Roman" w:hAnsi="Times New Roman" w:cs="Times New Roman"/>
          <w:sz w:val="28"/>
          <w:szCs w:val="28"/>
        </w:rPr>
        <w:t xml:space="preserve">% общего объема неналоговых доходов. Поступления прогнозируются в объеме </w:t>
      </w:r>
      <w:r w:rsidR="002764BB">
        <w:rPr>
          <w:rFonts w:ascii="Times New Roman" w:hAnsi="Times New Roman" w:cs="Times New Roman"/>
          <w:sz w:val="28"/>
          <w:szCs w:val="28"/>
        </w:rPr>
        <w:t>950,0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установленные главой </w:t>
      </w:r>
      <w:r w:rsidR="00F24215">
        <w:rPr>
          <w:rFonts w:ascii="Times New Roman" w:hAnsi="Times New Roman" w:cs="Times New Roman"/>
          <w:sz w:val="28"/>
          <w:szCs w:val="28"/>
        </w:rPr>
        <w:t xml:space="preserve">5, 6, 7, 8, 13, 14, 14, 19, 20 </w:t>
      </w:r>
      <w:r w:rsidRPr="00263BA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14:paraId="6D93DCC2" w14:textId="088535F9" w:rsidR="00E21166" w:rsidRPr="00263BA0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 xml:space="preserve">В плановом периоде объем поступлений в бюджет штрафов, санкций, возмещения ущерба прогнозируется в 2023 году в сумме </w:t>
      </w:r>
      <w:r w:rsidR="00F24215">
        <w:rPr>
          <w:rFonts w:ascii="Times New Roman" w:hAnsi="Times New Roman" w:cs="Times New Roman"/>
          <w:sz w:val="28"/>
          <w:szCs w:val="28"/>
        </w:rPr>
        <w:t>960,0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в 2024 году в сумме </w:t>
      </w:r>
      <w:r w:rsidR="00F24215">
        <w:rPr>
          <w:rFonts w:ascii="Times New Roman" w:hAnsi="Times New Roman" w:cs="Times New Roman"/>
          <w:sz w:val="28"/>
          <w:szCs w:val="28"/>
        </w:rPr>
        <w:t>1000,0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F24215">
        <w:rPr>
          <w:rFonts w:ascii="Times New Roman" w:hAnsi="Times New Roman" w:cs="Times New Roman"/>
          <w:sz w:val="28"/>
          <w:szCs w:val="28"/>
        </w:rPr>
        <w:t>101,1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и 1</w:t>
      </w:r>
      <w:r w:rsidR="00F24215">
        <w:rPr>
          <w:rFonts w:ascii="Times New Roman" w:hAnsi="Times New Roman" w:cs="Times New Roman"/>
          <w:sz w:val="28"/>
          <w:szCs w:val="28"/>
        </w:rPr>
        <w:t>11</w:t>
      </w:r>
      <w:r w:rsidRPr="00263BA0">
        <w:rPr>
          <w:rFonts w:ascii="Times New Roman" w:hAnsi="Times New Roman" w:cs="Times New Roman"/>
          <w:sz w:val="28"/>
          <w:szCs w:val="28"/>
        </w:rPr>
        <w:t>,</w:t>
      </w:r>
      <w:r w:rsidR="00F24215">
        <w:rPr>
          <w:rFonts w:ascii="Times New Roman" w:hAnsi="Times New Roman" w:cs="Times New Roman"/>
          <w:sz w:val="28"/>
          <w:szCs w:val="28"/>
        </w:rPr>
        <w:t>1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4BA78A0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77777777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2022-2024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2022 год и на плановый период 2023 и 2024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16C1C845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2022 год прогнозируется в сумме </w:t>
      </w:r>
      <w:r w:rsidR="006B3544">
        <w:rPr>
          <w:rFonts w:ascii="Times New Roman" w:hAnsi="Times New Roman" w:cs="Times New Roman"/>
          <w:sz w:val="28"/>
          <w:szCs w:val="28"/>
        </w:rPr>
        <w:t>256669,1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B3544">
        <w:rPr>
          <w:rFonts w:ascii="Times New Roman" w:hAnsi="Times New Roman" w:cs="Times New Roman"/>
          <w:sz w:val="28"/>
          <w:szCs w:val="28"/>
        </w:rPr>
        <w:t>6,5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ниже ожидаемой оценки исполнения бюджета текущего года. В общем объеме доходов проекта бюджета безвозмездные поступления составляют </w:t>
      </w:r>
      <w:r w:rsidR="006B3544">
        <w:rPr>
          <w:rFonts w:ascii="Times New Roman" w:hAnsi="Times New Roman" w:cs="Times New Roman"/>
          <w:sz w:val="28"/>
          <w:szCs w:val="28"/>
        </w:rPr>
        <w:t>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6B3544">
        <w:rPr>
          <w:rFonts w:ascii="Times New Roman" w:hAnsi="Times New Roman" w:cs="Times New Roman"/>
          <w:sz w:val="28"/>
          <w:szCs w:val="28"/>
        </w:rPr>
        <w:t>2,9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2021 года (</w:t>
      </w:r>
      <w:r w:rsidR="006B3544">
        <w:rPr>
          <w:rFonts w:ascii="Times New Roman" w:hAnsi="Times New Roman" w:cs="Times New Roman"/>
          <w:sz w:val="28"/>
          <w:szCs w:val="28"/>
        </w:rPr>
        <w:t>74,4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Сокращение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77777777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E643F8">
        <w:rPr>
          <w:rFonts w:ascii="Times New Roman" w:hAnsi="Times New Roman" w:cs="Times New Roman"/>
          <w:sz w:val="28"/>
          <w:szCs w:val="28"/>
        </w:rPr>
        <w:t>198781,5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2024 году в сумме </w:t>
      </w:r>
      <w:r w:rsidR="00E643F8">
        <w:rPr>
          <w:rFonts w:ascii="Times New Roman" w:hAnsi="Times New Roman" w:cs="Times New Roman"/>
          <w:sz w:val="28"/>
          <w:szCs w:val="28"/>
        </w:rPr>
        <w:t>188357,9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3F8">
        <w:rPr>
          <w:rFonts w:ascii="Times New Roman" w:hAnsi="Times New Roman" w:cs="Times New Roman"/>
          <w:sz w:val="28"/>
          <w:szCs w:val="28"/>
        </w:rPr>
        <w:t>77,4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E643F8">
        <w:rPr>
          <w:rFonts w:ascii="Times New Roman" w:hAnsi="Times New Roman" w:cs="Times New Roman"/>
          <w:sz w:val="28"/>
          <w:szCs w:val="28"/>
        </w:rPr>
        <w:t>94,8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2022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</w:t>
      </w:r>
      <w:r w:rsidRPr="009B35B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на их долю приходится </w:t>
      </w:r>
      <w:r w:rsidR="00E643F8">
        <w:rPr>
          <w:rFonts w:ascii="Times New Roman" w:hAnsi="Times New Roman" w:cs="Times New Roman"/>
          <w:sz w:val="28"/>
          <w:szCs w:val="28"/>
        </w:rPr>
        <w:t>67,0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7FCCE5E2" w14:textId="21373C47" w:rsidR="00D448BA" w:rsidRPr="009B35B0" w:rsidRDefault="00E643F8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запланированы на 2022 год в сумме </w:t>
      </w:r>
      <w:r>
        <w:rPr>
          <w:rFonts w:ascii="Times New Roman" w:hAnsi="Times New Roman" w:cs="Times New Roman"/>
          <w:sz w:val="28"/>
          <w:szCs w:val="28"/>
        </w:rPr>
        <w:t>171829,5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114,6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2021 году. Объем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2023 году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156430,0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в 2024 году – </w:t>
      </w:r>
      <w:r>
        <w:rPr>
          <w:rFonts w:ascii="Times New Roman" w:hAnsi="Times New Roman" w:cs="Times New Roman"/>
          <w:sz w:val="28"/>
          <w:szCs w:val="28"/>
        </w:rPr>
        <w:t>157891,4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94,0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и 100,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</w:t>
      </w:r>
      <w:r w:rsidR="00173DC0">
        <w:rPr>
          <w:rFonts w:ascii="Times New Roman" w:hAnsi="Times New Roman" w:cs="Times New Roman"/>
          <w:sz w:val="28"/>
          <w:szCs w:val="28"/>
        </w:rPr>
        <w:t>.</w:t>
      </w:r>
    </w:p>
    <w:p w14:paraId="12652840" w14:textId="29DF8A64" w:rsidR="00213B48" w:rsidRPr="0095512E" w:rsidRDefault="0095512E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12E">
        <w:rPr>
          <w:rFonts w:ascii="Times New Roman" w:hAnsi="Times New Roman" w:cs="Times New Roman"/>
          <w:sz w:val="28"/>
          <w:szCs w:val="28"/>
        </w:rPr>
        <w:t xml:space="preserve">Динамика прогнозных значений на 2022-2024 годы в сравнении с </w:t>
      </w:r>
      <w:r w:rsidR="00DB15F3">
        <w:rPr>
          <w:rFonts w:ascii="Times New Roman" w:hAnsi="Times New Roman" w:cs="Times New Roman"/>
          <w:sz w:val="28"/>
          <w:szCs w:val="28"/>
        </w:rPr>
        <w:t xml:space="preserve">безвозмездным </w:t>
      </w:r>
      <w:r w:rsidRPr="0095512E">
        <w:rPr>
          <w:rFonts w:ascii="Times New Roman" w:hAnsi="Times New Roman" w:cs="Times New Roman"/>
          <w:sz w:val="28"/>
          <w:szCs w:val="28"/>
        </w:rPr>
        <w:t>поступлением в 20</w:t>
      </w:r>
      <w:r w:rsidR="00DB15F3">
        <w:rPr>
          <w:rFonts w:ascii="Times New Roman" w:hAnsi="Times New Roman" w:cs="Times New Roman"/>
          <w:sz w:val="28"/>
          <w:szCs w:val="28"/>
        </w:rPr>
        <w:t>20</w:t>
      </w:r>
      <w:r w:rsidRPr="0095512E">
        <w:rPr>
          <w:rFonts w:ascii="Times New Roman" w:hAnsi="Times New Roman" w:cs="Times New Roman"/>
          <w:sz w:val="28"/>
          <w:szCs w:val="28"/>
        </w:rPr>
        <w:t>-2021 годах приведена в таблице.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7D0D1C" w:rsidRPr="007D0D1C" w14:paraId="369F1D0C" w14:textId="77777777" w:rsidTr="00477561">
        <w:tc>
          <w:tcPr>
            <w:tcW w:w="1844" w:type="dxa"/>
            <w:vMerge w:val="restart"/>
            <w:vAlign w:val="center"/>
          </w:tcPr>
          <w:p w14:paraId="511B92E6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DF5121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7383514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2593527" w14:textId="4FCB5423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vAlign w:val="center"/>
          </w:tcPr>
          <w:p w14:paraId="735900CA" w14:textId="12BC64EE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804D9A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2D2DEF7A" w14:textId="12128D11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14:paraId="5648EFB0" w14:textId="4CA18313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vAlign w:val="center"/>
          </w:tcPr>
          <w:p w14:paraId="47202102" w14:textId="5AEF84AE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13B48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D0D1C" w:rsidRPr="007D0D1C" w14:paraId="470AF0DC" w14:textId="77777777" w:rsidTr="00477561">
        <w:tc>
          <w:tcPr>
            <w:tcW w:w="1844" w:type="dxa"/>
            <w:vMerge/>
          </w:tcPr>
          <w:p w14:paraId="112A2E9A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A4A8A3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38A5F3CB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51867DF9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F9BA162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перд</w:t>
            </w:r>
            <w:proofErr w:type="spellEnd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60" w:type="dxa"/>
            <w:vAlign w:val="center"/>
          </w:tcPr>
          <w:p w14:paraId="008B03F9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702412F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перд</w:t>
            </w:r>
            <w:proofErr w:type="spellEnd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76" w:type="dxa"/>
            <w:vAlign w:val="center"/>
          </w:tcPr>
          <w:p w14:paraId="32F96235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43958A8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перд</w:t>
            </w:r>
            <w:proofErr w:type="spellEnd"/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. году</w:t>
            </w:r>
          </w:p>
        </w:tc>
      </w:tr>
      <w:tr w:rsidR="007D0D1C" w:rsidRPr="007D0D1C" w14:paraId="20432067" w14:textId="77777777" w:rsidTr="00477561">
        <w:tc>
          <w:tcPr>
            <w:tcW w:w="1844" w:type="dxa"/>
          </w:tcPr>
          <w:p w14:paraId="09C6FADF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192F369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D90D809" w14:textId="255DDEFE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214055,1</w:t>
            </w:r>
          </w:p>
        </w:tc>
        <w:tc>
          <w:tcPr>
            <w:tcW w:w="1114" w:type="dxa"/>
            <w:vAlign w:val="center"/>
          </w:tcPr>
          <w:p w14:paraId="68BCC9C1" w14:textId="5D43BC9E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274514,9</w:t>
            </w:r>
          </w:p>
        </w:tc>
        <w:tc>
          <w:tcPr>
            <w:tcW w:w="1062" w:type="dxa"/>
            <w:vAlign w:val="center"/>
          </w:tcPr>
          <w:p w14:paraId="2D94CDF3" w14:textId="280C0F92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256669,1</w:t>
            </w:r>
          </w:p>
        </w:tc>
        <w:tc>
          <w:tcPr>
            <w:tcW w:w="754" w:type="dxa"/>
            <w:vAlign w:val="center"/>
          </w:tcPr>
          <w:p w14:paraId="40ADBF24" w14:textId="61AE2FB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060" w:type="dxa"/>
            <w:vAlign w:val="center"/>
          </w:tcPr>
          <w:p w14:paraId="648A9614" w14:textId="371CA90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198781,5</w:t>
            </w:r>
          </w:p>
        </w:tc>
        <w:tc>
          <w:tcPr>
            <w:tcW w:w="754" w:type="dxa"/>
            <w:vAlign w:val="center"/>
          </w:tcPr>
          <w:p w14:paraId="33AC5A7A" w14:textId="1FF62E44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76" w:type="dxa"/>
            <w:vAlign w:val="center"/>
          </w:tcPr>
          <w:p w14:paraId="7617D2A8" w14:textId="0A5966FB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188357,9</w:t>
            </w:r>
          </w:p>
        </w:tc>
        <w:tc>
          <w:tcPr>
            <w:tcW w:w="754" w:type="dxa"/>
            <w:vAlign w:val="center"/>
          </w:tcPr>
          <w:p w14:paraId="0AF97D28" w14:textId="058C21BC" w:rsidR="007D0D1C" w:rsidRPr="007D0D1C" w:rsidRDefault="00201376" w:rsidP="007D0D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94,8</w:t>
            </w:r>
          </w:p>
        </w:tc>
      </w:tr>
      <w:tr w:rsidR="007D0D1C" w:rsidRPr="007D0D1C" w14:paraId="486D4D19" w14:textId="77777777" w:rsidTr="00477561">
        <w:tc>
          <w:tcPr>
            <w:tcW w:w="1844" w:type="dxa"/>
          </w:tcPr>
          <w:p w14:paraId="4A3EE416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69C10392" w14:textId="1B29045A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45873,7</w:t>
            </w:r>
          </w:p>
        </w:tc>
        <w:tc>
          <w:tcPr>
            <w:tcW w:w="1114" w:type="dxa"/>
            <w:vAlign w:val="center"/>
          </w:tcPr>
          <w:p w14:paraId="2CB2E13D" w14:textId="167E49E9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41266,8</w:t>
            </w:r>
          </w:p>
        </w:tc>
        <w:tc>
          <w:tcPr>
            <w:tcW w:w="1062" w:type="dxa"/>
            <w:vAlign w:val="center"/>
          </w:tcPr>
          <w:p w14:paraId="6577BBE5" w14:textId="601A969D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45208,0</w:t>
            </w:r>
          </w:p>
        </w:tc>
        <w:tc>
          <w:tcPr>
            <w:tcW w:w="754" w:type="dxa"/>
            <w:vAlign w:val="center"/>
          </w:tcPr>
          <w:p w14:paraId="3D703F1F" w14:textId="18DD9828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060" w:type="dxa"/>
            <w:vAlign w:val="center"/>
          </w:tcPr>
          <w:p w14:paraId="16325691" w14:textId="2162A32C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13895,0</w:t>
            </w:r>
          </w:p>
        </w:tc>
        <w:tc>
          <w:tcPr>
            <w:tcW w:w="754" w:type="dxa"/>
            <w:vAlign w:val="center"/>
          </w:tcPr>
          <w:p w14:paraId="242FA509" w14:textId="513E5909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076" w:type="dxa"/>
            <w:vAlign w:val="center"/>
          </w:tcPr>
          <w:p w14:paraId="52DB1220" w14:textId="28980EA8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12726,0</w:t>
            </w:r>
          </w:p>
        </w:tc>
        <w:tc>
          <w:tcPr>
            <w:tcW w:w="754" w:type="dxa"/>
            <w:vAlign w:val="center"/>
          </w:tcPr>
          <w:p w14:paraId="395336E2" w14:textId="5E0CD605" w:rsidR="007D0D1C" w:rsidRPr="007D0D1C" w:rsidRDefault="00607ED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91,6</w:t>
            </w:r>
          </w:p>
        </w:tc>
      </w:tr>
      <w:tr w:rsidR="007D0D1C" w:rsidRPr="007D0D1C" w14:paraId="1D33C649" w14:textId="77777777" w:rsidTr="00477561">
        <w:tc>
          <w:tcPr>
            <w:tcW w:w="1844" w:type="dxa"/>
          </w:tcPr>
          <w:p w14:paraId="24339F7C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6B7A24FF" w14:textId="14F494C7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10109,6</w:t>
            </w:r>
          </w:p>
        </w:tc>
        <w:tc>
          <w:tcPr>
            <w:tcW w:w="1114" w:type="dxa"/>
            <w:vAlign w:val="center"/>
          </w:tcPr>
          <w:p w14:paraId="47EA3961" w14:textId="243C0108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68844,9</w:t>
            </w:r>
          </w:p>
        </w:tc>
        <w:tc>
          <w:tcPr>
            <w:tcW w:w="1062" w:type="dxa"/>
            <w:vAlign w:val="center"/>
          </w:tcPr>
          <w:p w14:paraId="7FA82A0E" w14:textId="53F16C90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24710,4</w:t>
            </w:r>
          </w:p>
        </w:tc>
        <w:tc>
          <w:tcPr>
            <w:tcW w:w="754" w:type="dxa"/>
            <w:vAlign w:val="center"/>
          </w:tcPr>
          <w:p w14:paraId="716269E6" w14:textId="5BC9F826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060" w:type="dxa"/>
            <w:vAlign w:val="center"/>
          </w:tcPr>
          <w:p w14:paraId="67857E7C" w14:textId="2FC36401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20722,6</w:t>
            </w:r>
          </w:p>
        </w:tc>
        <w:tc>
          <w:tcPr>
            <w:tcW w:w="754" w:type="dxa"/>
            <w:vAlign w:val="center"/>
          </w:tcPr>
          <w:p w14:paraId="0752447A" w14:textId="43C5AA20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076" w:type="dxa"/>
            <w:vAlign w:val="center"/>
          </w:tcPr>
          <w:p w14:paraId="7A199F3C" w14:textId="463670D5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10006,7</w:t>
            </w:r>
          </w:p>
        </w:tc>
        <w:tc>
          <w:tcPr>
            <w:tcW w:w="754" w:type="dxa"/>
            <w:vAlign w:val="center"/>
          </w:tcPr>
          <w:p w14:paraId="43FEB35D" w14:textId="0F5D731E" w:rsidR="007D0D1C" w:rsidRPr="007D0D1C" w:rsidRDefault="00185399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48,3</w:t>
            </w:r>
          </w:p>
        </w:tc>
      </w:tr>
      <w:tr w:rsidR="007D0D1C" w:rsidRPr="007D0D1C" w14:paraId="233DC19E" w14:textId="77777777" w:rsidTr="00477561">
        <w:tc>
          <w:tcPr>
            <w:tcW w:w="1844" w:type="dxa"/>
          </w:tcPr>
          <w:p w14:paraId="664AADA4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59F46596" w14:textId="56B1F66D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143680,8</w:t>
            </w:r>
          </w:p>
        </w:tc>
        <w:tc>
          <w:tcPr>
            <w:tcW w:w="1114" w:type="dxa"/>
            <w:vAlign w:val="center"/>
          </w:tcPr>
          <w:p w14:paraId="0FEA12BF" w14:textId="5178F777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149974,7</w:t>
            </w:r>
          </w:p>
        </w:tc>
        <w:tc>
          <w:tcPr>
            <w:tcW w:w="1062" w:type="dxa"/>
            <w:vAlign w:val="center"/>
          </w:tcPr>
          <w:p w14:paraId="21DDE867" w14:textId="11A3BDA4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171829,5</w:t>
            </w:r>
          </w:p>
        </w:tc>
        <w:tc>
          <w:tcPr>
            <w:tcW w:w="754" w:type="dxa"/>
            <w:vAlign w:val="center"/>
          </w:tcPr>
          <w:p w14:paraId="5929880A" w14:textId="1C5DB4B7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060" w:type="dxa"/>
            <w:vAlign w:val="center"/>
          </w:tcPr>
          <w:p w14:paraId="2954D28F" w14:textId="6153F27E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156430,0</w:t>
            </w:r>
          </w:p>
        </w:tc>
        <w:tc>
          <w:tcPr>
            <w:tcW w:w="754" w:type="dxa"/>
            <w:vAlign w:val="center"/>
          </w:tcPr>
          <w:p w14:paraId="361E7325" w14:textId="4350D05E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vAlign w:val="center"/>
          </w:tcPr>
          <w:p w14:paraId="493418F3" w14:textId="7B36E028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157891,4</w:t>
            </w:r>
          </w:p>
        </w:tc>
        <w:tc>
          <w:tcPr>
            <w:tcW w:w="754" w:type="dxa"/>
            <w:vAlign w:val="center"/>
          </w:tcPr>
          <w:p w14:paraId="6EADF931" w14:textId="0FC86471" w:rsidR="007D0D1C" w:rsidRPr="007D0D1C" w:rsidRDefault="005F26AE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100,9</w:t>
            </w:r>
          </w:p>
        </w:tc>
      </w:tr>
      <w:tr w:rsidR="007D0D1C" w:rsidRPr="007D0D1C" w14:paraId="05FC4360" w14:textId="77777777" w:rsidTr="00477561">
        <w:tc>
          <w:tcPr>
            <w:tcW w:w="1844" w:type="dxa"/>
          </w:tcPr>
          <w:p w14:paraId="133984C5" w14:textId="77777777" w:rsidR="007D0D1C" w:rsidRPr="007D0D1C" w:rsidRDefault="007D0D1C" w:rsidP="007D0D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20A74027" w14:textId="2FBACE4D" w:rsidR="007D0D1C" w:rsidRPr="007D0D1C" w:rsidRDefault="00B90487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14391,0</w:t>
            </w:r>
          </w:p>
        </w:tc>
        <w:tc>
          <w:tcPr>
            <w:tcW w:w="1114" w:type="dxa"/>
            <w:vAlign w:val="center"/>
          </w:tcPr>
          <w:p w14:paraId="4B54CFB1" w14:textId="10854ECA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14468,5</w:t>
            </w:r>
          </w:p>
        </w:tc>
        <w:tc>
          <w:tcPr>
            <w:tcW w:w="1062" w:type="dxa"/>
            <w:vAlign w:val="center"/>
          </w:tcPr>
          <w:p w14:paraId="0FB083A2" w14:textId="1E06575B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14821,2</w:t>
            </w:r>
          </w:p>
        </w:tc>
        <w:tc>
          <w:tcPr>
            <w:tcW w:w="754" w:type="dxa"/>
            <w:vAlign w:val="center"/>
          </w:tcPr>
          <w:p w14:paraId="01B69886" w14:textId="0633BBEE" w:rsidR="007D0D1C" w:rsidRPr="007D0D1C" w:rsidRDefault="00233B6D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060" w:type="dxa"/>
            <w:vAlign w:val="center"/>
          </w:tcPr>
          <w:p w14:paraId="550608C5" w14:textId="27E2E80E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7733,9</w:t>
            </w:r>
          </w:p>
        </w:tc>
        <w:tc>
          <w:tcPr>
            <w:tcW w:w="754" w:type="dxa"/>
            <w:vAlign w:val="center"/>
          </w:tcPr>
          <w:p w14:paraId="638B6155" w14:textId="6001FD37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76" w:type="dxa"/>
            <w:vAlign w:val="center"/>
          </w:tcPr>
          <w:p w14:paraId="7521DCB5" w14:textId="114480DC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7733,9</w:t>
            </w:r>
          </w:p>
        </w:tc>
        <w:tc>
          <w:tcPr>
            <w:tcW w:w="754" w:type="dxa"/>
            <w:vAlign w:val="center"/>
          </w:tcPr>
          <w:p w14:paraId="2F1CFBFF" w14:textId="7C0B0D01" w:rsidR="007D0D1C" w:rsidRPr="007D0D1C" w:rsidRDefault="00F0229A" w:rsidP="007D0D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9B4B0DC" w14:textId="7D81DD17" w:rsidR="00BD2BE0" w:rsidRDefault="007503CE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2022 год запланирован по следующим видам субвенций: </w:t>
      </w:r>
    </w:p>
    <w:p w14:paraId="262362C0" w14:textId="774CD6D8" w:rsidR="00BD2BE0" w:rsidRDefault="000A710D" w:rsidP="0061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F259CA">
        <w:rPr>
          <w:rFonts w:ascii="Times New Roman" w:hAnsi="Times New Roman" w:cs="Times New Roman"/>
          <w:sz w:val="28"/>
          <w:szCs w:val="28"/>
        </w:rPr>
        <w:t>165052,2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96,</w:t>
      </w:r>
      <w:r w:rsidR="00041E72">
        <w:rPr>
          <w:rFonts w:ascii="Times New Roman" w:hAnsi="Times New Roman" w:cs="Times New Roman"/>
          <w:sz w:val="28"/>
          <w:szCs w:val="28"/>
        </w:rPr>
        <w:t>0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180E520E" w:rsidR="00D02A75" w:rsidRPr="00081EC6" w:rsidRDefault="00F259C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1479,9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041E72">
        <w:rPr>
          <w:rFonts w:ascii="Times New Roman" w:hAnsi="Times New Roman" w:cs="Times New Roman"/>
          <w:sz w:val="28"/>
          <w:szCs w:val="28"/>
        </w:rPr>
        <w:t>9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49D99978" w:rsidR="00F259CA" w:rsidRDefault="00B903B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4513,1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2,6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5A5CA09" w14:textId="4D1013D7" w:rsidR="00B903BD" w:rsidRDefault="005E156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E156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713,2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C1F8CC8" w14:textId="612FDBFD" w:rsidR="005E156D" w:rsidRDefault="0032727F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71,1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2B4455" w14:textId="42E9342A" w:rsidR="00A7521C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2022 год</w:t>
      </w:r>
      <w:r w:rsidR="00A7521C">
        <w:rPr>
          <w:rFonts w:ascii="Times New Roman" w:hAnsi="Times New Roman" w:cs="Times New Roman"/>
          <w:sz w:val="28"/>
          <w:szCs w:val="28"/>
        </w:rPr>
        <w:t xml:space="preserve"> </w:t>
      </w:r>
      <w:r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A7521C">
        <w:rPr>
          <w:rFonts w:ascii="Times New Roman" w:hAnsi="Times New Roman" w:cs="Times New Roman"/>
          <w:sz w:val="28"/>
          <w:szCs w:val="28"/>
        </w:rPr>
        <w:t>занимает</w:t>
      </w:r>
      <w:r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A7521C">
        <w:rPr>
          <w:rFonts w:ascii="Times New Roman" w:hAnsi="Times New Roman" w:cs="Times New Roman"/>
          <w:sz w:val="28"/>
          <w:szCs w:val="28"/>
        </w:rPr>
        <w:t>17,6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4F410A91" w14:textId="56D798BA" w:rsidR="00F259CA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lastRenderedPageBreak/>
        <w:t xml:space="preserve">Дотации запланированы на 2022 год в сумме </w:t>
      </w:r>
      <w:r w:rsidR="00A7521C">
        <w:rPr>
          <w:rFonts w:ascii="Times New Roman" w:hAnsi="Times New Roman" w:cs="Times New Roman"/>
          <w:sz w:val="28"/>
          <w:szCs w:val="28"/>
        </w:rPr>
        <w:t>45208,0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7521C">
        <w:rPr>
          <w:rFonts w:ascii="Times New Roman" w:hAnsi="Times New Roman" w:cs="Times New Roman"/>
          <w:sz w:val="28"/>
          <w:szCs w:val="28"/>
        </w:rPr>
        <w:t>109,5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дотаций в 2021 году. Объем поступления дотаций в 2023 году прогнозируется в сумме </w:t>
      </w:r>
      <w:r w:rsidR="00A7521C">
        <w:rPr>
          <w:rFonts w:ascii="Times New Roman" w:hAnsi="Times New Roman" w:cs="Times New Roman"/>
          <w:sz w:val="28"/>
          <w:szCs w:val="28"/>
        </w:rPr>
        <w:t>13895,0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в 2024 году – </w:t>
      </w:r>
      <w:r w:rsidR="00A7521C">
        <w:rPr>
          <w:rFonts w:ascii="Times New Roman" w:hAnsi="Times New Roman" w:cs="Times New Roman"/>
          <w:sz w:val="28"/>
          <w:szCs w:val="28"/>
        </w:rPr>
        <w:t>12726,0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521C">
        <w:rPr>
          <w:rFonts w:ascii="Times New Roman" w:hAnsi="Times New Roman" w:cs="Times New Roman"/>
          <w:sz w:val="28"/>
          <w:szCs w:val="28"/>
        </w:rPr>
        <w:t>30,7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A7521C">
        <w:rPr>
          <w:rFonts w:ascii="Times New Roman" w:hAnsi="Times New Roman" w:cs="Times New Roman"/>
          <w:sz w:val="28"/>
          <w:szCs w:val="28"/>
        </w:rPr>
        <w:t>91,6</w:t>
      </w:r>
      <w:r w:rsidRPr="00B87110">
        <w:rPr>
          <w:rFonts w:ascii="Times New Roman" w:hAnsi="Times New Roman" w:cs="Times New Roman"/>
          <w:sz w:val="28"/>
          <w:szCs w:val="28"/>
        </w:rPr>
        <w:t>% к предыдущему году соответственно. Снижение темпа роста дотаций в 2023 году связано с распределением дотаций не в полном объеме на момент формирования проекта бюджета.</w:t>
      </w:r>
    </w:p>
    <w:p w14:paraId="79560AB7" w14:textId="09BE9118" w:rsidR="00564719" w:rsidRDefault="00D56E13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E13">
        <w:rPr>
          <w:rFonts w:ascii="Times New Roman" w:hAnsi="Times New Roman" w:cs="Times New Roman"/>
          <w:sz w:val="28"/>
          <w:szCs w:val="28"/>
        </w:rPr>
        <w:t xml:space="preserve">Субсидии бюджетам бюджетной системы Российской Федерации в 2022 году прогнозируются в объеме </w:t>
      </w:r>
      <w:r w:rsidR="00AB6384">
        <w:rPr>
          <w:rFonts w:ascii="Times New Roman" w:hAnsi="Times New Roman" w:cs="Times New Roman"/>
          <w:sz w:val="28"/>
          <w:szCs w:val="28"/>
        </w:rPr>
        <w:t>24710,4</w:t>
      </w:r>
      <w:r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A50F1">
        <w:rPr>
          <w:rFonts w:ascii="Times New Roman" w:hAnsi="Times New Roman" w:cs="Times New Roman"/>
          <w:sz w:val="28"/>
          <w:szCs w:val="28"/>
        </w:rPr>
        <w:t>9,6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Темп роста к </w:t>
      </w:r>
      <w:r w:rsidR="003A50F1">
        <w:rPr>
          <w:rFonts w:ascii="Times New Roman" w:hAnsi="Times New Roman" w:cs="Times New Roman"/>
          <w:sz w:val="28"/>
          <w:szCs w:val="28"/>
        </w:rPr>
        <w:t>оценке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2021 года составляет </w:t>
      </w:r>
      <w:r w:rsidR="003A50F1">
        <w:rPr>
          <w:rFonts w:ascii="Times New Roman" w:hAnsi="Times New Roman" w:cs="Times New Roman"/>
          <w:sz w:val="28"/>
          <w:szCs w:val="28"/>
        </w:rPr>
        <w:t>35,9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%, </w:t>
      </w:r>
      <w:r w:rsidR="003A50F1">
        <w:rPr>
          <w:rFonts w:ascii="Times New Roman" w:hAnsi="Times New Roman" w:cs="Times New Roman"/>
          <w:sz w:val="28"/>
          <w:szCs w:val="28"/>
        </w:rPr>
        <w:t>с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3A50F1">
        <w:rPr>
          <w:rFonts w:ascii="Times New Roman" w:hAnsi="Times New Roman" w:cs="Times New Roman"/>
          <w:sz w:val="28"/>
          <w:szCs w:val="28"/>
        </w:rPr>
        <w:t>областными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</w:p>
    <w:p w14:paraId="202E1A17" w14:textId="68DC64F3" w:rsidR="00A0353A" w:rsidRDefault="00A0353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</w:t>
      </w:r>
      <w:r w:rsidR="00146A30" w:rsidRPr="00146A30">
        <w:rPr>
          <w:rFonts w:ascii="Times New Roman" w:hAnsi="Times New Roman" w:cs="Times New Roman"/>
          <w:sz w:val="28"/>
          <w:szCs w:val="28"/>
        </w:rPr>
        <w:t>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субсидий бюджета на 2022 год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следующие виды субсидий: </w:t>
      </w:r>
    </w:p>
    <w:p w14:paraId="18470CB7" w14:textId="1E118679" w:rsidR="003A50F1" w:rsidRDefault="00A0353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146A30" w:rsidRPr="00146A30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строительство и реконструкцию (модернизацию) объектов питьевого водоснабжения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37,4%, или 9244,6 тыс. рублей;</w:t>
      </w:r>
    </w:p>
    <w:p w14:paraId="7618FBFD" w14:textId="4E199720" w:rsidR="00CA3786" w:rsidRDefault="00CA3786" w:rsidP="00CA3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>убсиди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26,5%, или 6545,2 тыс. рублей;</w:t>
      </w:r>
    </w:p>
    <w:p w14:paraId="4CF51F94" w14:textId="7186500B" w:rsidR="00C953AE" w:rsidRDefault="00C953AE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953AE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Hlk89687215"/>
      <w:bookmarkStart w:id="2" w:name="_Hlk89687274"/>
      <w:r>
        <w:rPr>
          <w:rFonts w:ascii="Times New Roman" w:eastAsia="Calibri" w:hAnsi="Times New Roman" w:cs="Times New Roman"/>
          <w:bCs/>
          <w:sz w:val="28"/>
          <w:szCs w:val="28"/>
        </w:rPr>
        <w:t>– 5,3%, или 1311,8 тыс. рублей;</w:t>
      </w:r>
      <w:bookmarkEnd w:id="1"/>
    </w:p>
    <w:bookmarkEnd w:id="2"/>
    <w:p w14:paraId="48B9B7B2" w14:textId="4AEEDC35" w:rsidR="00C953AE" w:rsidRDefault="00EB4912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4912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реализацию мероприятий по обеспечению жильем молодых семей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3,3%, или 803,9 тыс. рублей;</w:t>
      </w:r>
    </w:p>
    <w:p w14:paraId="51F2FB51" w14:textId="1F54261F" w:rsidR="00BD7E9A" w:rsidRDefault="00BD7E9A" w:rsidP="00BD7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D7E9A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0,4%, или 87,8 тыс. рублей;</w:t>
      </w:r>
    </w:p>
    <w:p w14:paraId="0465C678" w14:textId="5363C8D5" w:rsidR="007137F3" w:rsidRDefault="007137F3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7137F3">
        <w:rPr>
          <w:rFonts w:ascii="Times New Roman" w:eastAsia="Calibri" w:hAnsi="Times New Roman" w:cs="Times New Roman"/>
          <w:bCs/>
          <w:sz w:val="28"/>
          <w:szCs w:val="28"/>
        </w:rPr>
        <w:t>рочие субсидии бюджетам муниципальных районов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3" w:name="_Hlk8968836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3,3%, или </w:t>
      </w:r>
      <w:r w:rsidR="005B6839">
        <w:rPr>
          <w:rFonts w:ascii="Times New Roman" w:eastAsia="Calibri" w:hAnsi="Times New Roman" w:cs="Times New Roman"/>
          <w:bCs/>
          <w:sz w:val="28"/>
          <w:szCs w:val="28"/>
        </w:rPr>
        <w:t xml:space="preserve">6717,0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bookmarkEnd w:id="3"/>
    <w:p w14:paraId="2F4E8424" w14:textId="77777777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861BCD">
        <w:rPr>
          <w:rFonts w:ascii="Times New Roman" w:hAnsi="Times New Roman" w:cs="Times New Roman"/>
          <w:sz w:val="28"/>
          <w:szCs w:val="28"/>
        </w:rPr>
        <w:t>5,8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бюджета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861BCD">
        <w:rPr>
          <w:rFonts w:ascii="Times New Roman" w:hAnsi="Times New Roman" w:cs="Times New Roman"/>
          <w:sz w:val="28"/>
          <w:szCs w:val="28"/>
        </w:rPr>
        <w:t>102,4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межбюджетных трансфертов на 2022 год предусмотрен в сумме </w:t>
      </w:r>
      <w:r w:rsidR="00861BCD">
        <w:rPr>
          <w:rFonts w:ascii="Times New Roman" w:hAnsi="Times New Roman" w:cs="Times New Roman"/>
          <w:sz w:val="28"/>
          <w:szCs w:val="28"/>
        </w:rPr>
        <w:t>14821,2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0D9E" w:rsidRPr="00A20D9E">
        <w:rPr>
          <w:rFonts w:ascii="Times New Roman" w:hAnsi="Times New Roman" w:cs="Times New Roman"/>
          <w:sz w:val="28"/>
          <w:szCs w:val="28"/>
        </w:rPr>
        <w:t>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23128C15" w:rsidR="00341B27" w:rsidRDefault="00341B27" w:rsidP="00341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53,7%, или 7962,2 тыс. рублей;</w:t>
      </w:r>
    </w:p>
    <w:p w14:paraId="486A4032" w14:textId="223CDADF" w:rsidR="00C003B2" w:rsidRDefault="00C003B2" w:rsidP="00C00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t xml:space="preserve">ежбюджетные трансферты, передаваемые бюджетам муниципальных районов из бюджетов поселений на осуществление части полномочий по 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решению вопросов местного значения в соответствии с заключенными соглашениями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46,3%, или 6853,0 тыс. рублей.</w:t>
      </w:r>
    </w:p>
    <w:p w14:paraId="6812F7FA" w14:textId="069BF23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3AC01387" w14:textId="14B2BD1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Объем расходов, определенный в проекте решения о бюджете на 2021 год и на плановый период 2022 и 2023 годов» составляет:</w:t>
      </w:r>
    </w:p>
    <w:p w14:paraId="75B9F67C" w14:textId="2C80758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358983,1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46688ED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303172,5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0D5DF71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3AF1">
        <w:rPr>
          <w:rFonts w:ascii="Times New Roman" w:eastAsia="Calibri" w:hAnsi="Times New Roman" w:cs="Times New Roman"/>
          <w:sz w:val="28"/>
          <w:szCs w:val="28"/>
        </w:rPr>
        <w:t>299328,9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6143796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911FF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C911FF">
        <w:rPr>
          <w:rFonts w:ascii="Times New Roman" w:eastAsia="Calibri" w:hAnsi="Times New Roman" w:cs="Times New Roman"/>
          <w:sz w:val="28"/>
          <w:szCs w:val="28"/>
        </w:rPr>
        <w:t>91,8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911FF">
        <w:rPr>
          <w:rFonts w:ascii="Times New Roman" w:eastAsia="Calibri" w:hAnsi="Times New Roman" w:cs="Times New Roman"/>
          <w:sz w:val="28"/>
          <w:szCs w:val="28"/>
        </w:rPr>
        <w:t>77,5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C911F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911FF">
        <w:rPr>
          <w:rFonts w:ascii="Times New Roman" w:eastAsia="Calibri" w:hAnsi="Times New Roman" w:cs="Times New Roman"/>
          <w:sz w:val="28"/>
          <w:szCs w:val="28"/>
        </w:rPr>
        <w:t>76,5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77777777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2022 году </w:t>
      </w:r>
      <w:r w:rsidR="00363B34">
        <w:rPr>
          <w:rFonts w:ascii="Times New Roman" w:hAnsi="Times New Roman" w:cs="Times New Roman"/>
          <w:sz w:val="28"/>
          <w:szCs w:val="28"/>
        </w:rPr>
        <w:t>80,7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 (</w:t>
      </w:r>
      <w:r w:rsidR="00363B34">
        <w:rPr>
          <w:rFonts w:ascii="Times New Roman" w:hAnsi="Times New Roman" w:cs="Times New Roman"/>
          <w:sz w:val="28"/>
          <w:szCs w:val="28"/>
        </w:rPr>
        <w:t>289801,6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2022 года – </w:t>
      </w:r>
      <w:r w:rsidR="00363B34">
        <w:rPr>
          <w:rFonts w:ascii="Times New Roman" w:hAnsi="Times New Roman" w:cs="Times New Roman"/>
          <w:sz w:val="28"/>
          <w:szCs w:val="28"/>
        </w:rPr>
        <w:t>66,4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238195,7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рублей), 2023 года – </w:t>
      </w:r>
      <w:r w:rsidR="00363B34">
        <w:rPr>
          <w:rFonts w:ascii="Times New Roman" w:hAnsi="Times New Roman" w:cs="Times New Roman"/>
          <w:sz w:val="28"/>
          <w:szCs w:val="28"/>
        </w:rPr>
        <w:t>64,4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195159,0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рублей), 2024 года – </w:t>
      </w:r>
      <w:r w:rsidR="00363B34">
        <w:rPr>
          <w:rFonts w:ascii="Times New Roman" w:hAnsi="Times New Roman" w:cs="Times New Roman"/>
          <w:sz w:val="28"/>
          <w:szCs w:val="28"/>
        </w:rPr>
        <w:t>65,6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(</w:t>
      </w:r>
      <w:r w:rsidR="00363B34">
        <w:rPr>
          <w:rFonts w:ascii="Times New Roman" w:hAnsi="Times New Roman" w:cs="Times New Roman"/>
          <w:sz w:val="28"/>
          <w:szCs w:val="28"/>
        </w:rPr>
        <w:t>196394,1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782FEBE" w14:textId="52E3AE49" w:rsidR="00C4222E" w:rsidRPr="007D0D1C" w:rsidRDefault="00C4222E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 xml:space="preserve"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2022 году в абсолютном выражении составит </w:t>
      </w:r>
      <w:r>
        <w:rPr>
          <w:rFonts w:ascii="Times New Roman" w:hAnsi="Times New Roman" w:cs="Times New Roman"/>
          <w:sz w:val="28"/>
          <w:szCs w:val="28"/>
        </w:rPr>
        <w:t>7300,6</w:t>
      </w:r>
      <w:r w:rsidRPr="00C4222E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22E">
        <w:rPr>
          <w:rFonts w:ascii="Times New Roman" w:hAnsi="Times New Roman" w:cs="Times New Roman"/>
          <w:sz w:val="28"/>
          <w:szCs w:val="28"/>
        </w:rPr>
        <w:t xml:space="preserve">,0 % общего объема расходов бюджета. Удельный вес бюджетных ассигнований на исполнение публичных нормативных обязательств в общей сумме планируемых расходов в плановом периоде 2023-2024 годов составляет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C4222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3,3%</w:t>
      </w:r>
      <w:r w:rsidRPr="00C4222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0E7D97">
        <w:rPr>
          <w:rFonts w:ascii="Times New Roman" w:hAnsi="Times New Roman" w:cs="Times New Roman"/>
          <w:sz w:val="28"/>
          <w:szCs w:val="28"/>
        </w:rPr>
        <w:t>.</w:t>
      </w: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04F14FAB" w14:textId="148257C5" w:rsidR="007D0D1C" w:rsidRPr="007D0D1C" w:rsidRDefault="007D0D1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F4058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4058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4058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10 разделам бюджетной классификации расходов.</w:t>
      </w:r>
    </w:p>
    <w:p w14:paraId="211519CD" w14:textId="43D72904" w:rsidR="007D0D1C" w:rsidRDefault="007D0D1C" w:rsidP="007D0D1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2022 - 2024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таблице.</w:t>
      </w:r>
    </w:p>
    <w:p w14:paraId="418B909C" w14:textId="3E5FA921" w:rsidR="007D0D1C" w:rsidRPr="007D0D1C" w:rsidRDefault="00894CA4" w:rsidP="007D0D1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E7DE269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62184012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6C18484B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0F55688F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3AD7A2E3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250B51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06133B21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34934,3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6BF942EC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37756,4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469AA2C6" w:rsidR="007D0D1C" w:rsidRPr="007D0D1C" w:rsidRDefault="00421F8B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39979,8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59184751" w:rsidR="007D0D1C" w:rsidRPr="007D0D1C" w:rsidRDefault="00421F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44151,0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5710E4C4" w:rsidR="007D0D1C" w:rsidRPr="007D0D1C" w:rsidRDefault="00421F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48598,7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7F5620EE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1C9099BB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7FBD55E8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713,2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1692787F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62AE4776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28897549" w:rsidR="007D0D1C" w:rsidRPr="007D0D1C" w:rsidRDefault="00C41016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4E550AAE" w:rsidR="007D0D1C" w:rsidRPr="007D0D1C" w:rsidRDefault="00E04560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675D844" w:rsidR="007D0D1C" w:rsidRPr="007D0D1C" w:rsidRDefault="00173926" w:rsidP="0017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3790,7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5D207247" w:rsidR="007D0D1C" w:rsidRPr="007D0D1C" w:rsidRDefault="00173926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3817,2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17958BEC" w:rsidR="007D0D1C" w:rsidRPr="007D0D1C" w:rsidRDefault="00173926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3958,3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0074D8F0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5005855D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4826F6DF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12306,1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777E01B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8512,9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61F36E5E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8477,8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21D5ADBA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2D0E4162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9130,9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33B73263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10182,8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58AC61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28AF92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624,8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176A7DF5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205018,5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133D2C46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238930,2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6BCE8E80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238195,7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4F2F5C4E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195159,0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731525D5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196394,1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5FEE38A1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742C165B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24976,0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47FEC653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27957,9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396C4459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13372,4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504AF0F4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12786,6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1102E070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12394,6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02CC735C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18344,2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57084F4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16069,8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6045236A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17099,0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44DA23BF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18548,9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6EE48F5B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11A219B9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47236,7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6CE4BEB5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7578,2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69FDC661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17540,9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5BDD3CF2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7369,5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26AD1FC6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63FEEE8E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29EEC3E" w:rsidR="007D0D1C" w:rsidRPr="007D0D1C" w:rsidRDefault="00173926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2209,0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C9F2874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56914EF2" w:rsidR="007D0D1C" w:rsidRPr="007D0D1C" w:rsidRDefault="00173926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1809,0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6FD34C46" w:rsidR="007D0D1C" w:rsidRPr="007D0D1C" w:rsidRDefault="00C41016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304762,7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7C8A3778" w:rsidR="007D0D1C" w:rsidRPr="007D0D1C" w:rsidRDefault="00E04560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391051,7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15E9193" w:rsidR="007D0D1C" w:rsidRPr="007D0D1C" w:rsidRDefault="00FD25AE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358983,1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0EDBC9E0" w:rsidR="007D0D1C" w:rsidRPr="007D0D1C" w:rsidRDefault="00FD25AE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56938973" w:rsidR="007D0D1C" w:rsidRPr="007D0D1C" w:rsidRDefault="00FD25AE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</w:tbl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0E7BB01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39979,8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1016239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44151,0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6A9A2E5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872CA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2CA4">
        <w:rPr>
          <w:rFonts w:ascii="Times New Roman" w:eastAsia="Calibri" w:hAnsi="Times New Roman" w:cs="Times New Roman"/>
          <w:sz w:val="28"/>
          <w:szCs w:val="28"/>
        </w:rPr>
        <w:t>48598,7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5F1B60B" w14:textId="0EA31A8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B230A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,9 %,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B230AA">
        <w:rPr>
          <w:rFonts w:ascii="Times New Roman" w:eastAsia="Calibri" w:hAnsi="Times New Roman" w:cs="Times New Roman"/>
          <w:sz w:val="28"/>
          <w:szCs w:val="28"/>
        </w:rPr>
        <w:t>16,9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230A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30AA">
        <w:rPr>
          <w:rFonts w:ascii="Times New Roman" w:eastAsia="Calibri" w:hAnsi="Times New Roman" w:cs="Times New Roman"/>
          <w:sz w:val="28"/>
          <w:szCs w:val="28"/>
        </w:rPr>
        <w:t>28,7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B2D3B">
        <w:rPr>
          <w:rFonts w:ascii="Times New Roman" w:eastAsia="Calibri" w:hAnsi="Times New Roman" w:cs="Times New Roman"/>
          <w:sz w:val="28"/>
          <w:szCs w:val="28"/>
        </w:rPr>
        <w:t>14,6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2D3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B2D3B">
        <w:rPr>
          <w:rFonts w:ascii="Times New Roman" w:eastAsia="Calibri" w:hAnsi="Times New Roman" w:cs="Times New Roman"/>
          <w:sz w:val="28"/>
          <w:szCs w:val="28"/>
        </w:rPr>
        <w:t>16,2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4E18B53" w14:textId="55B7A85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C4FB9">
        <w:rPr>
          <w:rFonts w:ascii="Times New Roman" w:eastAsia="Calibri" w:hAnsi="Times New Roman" w:cs="Times New Roman"/>
          <w:sz w:val="28"/>
          <w:szCs w:val="28"/>
        </w:rPr>
        <w:t>471,2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C4FB9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C4FB9">
        <w:rPr>
          <w:rFonts w:ascii="Times New Roman" w:eastAsia="Calibri" w:hAnsi="Times New Roman" w:cs="Times New Roman"/>
          <w:sz w:val="28"/>
          <w:szCs w:val="28"/>
        </w:rPr>
        <w:t>488,7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CC4FB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C4FB9">
        <w:rPr>
          <w:rFonts w:ascii="Times New Roman" w:eastAsia="Calibri" w:hAnsi="Times New Roman" w:cs="Times New Roman"/>
          <w:sz w:val="28"/>
          <w:szCs w:val="28"/>
        </w:rPr>
        <w:t>506,9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BAAEC5C" w14:textId="42CB015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D2E69">
        <w:rPr>
          <w:rFonts w:ascii="Times New Roman" w:eastAsia="Calibri" w:hAnsi="Times New Roman" w:cs="Times New Roman"/>
          <w:sz w:val="28"/>
          <w:szCs w:val="28"/>
        </w:rPr>
        <w:t>25796,7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D2E69">
        <w:rPr>
          <w:rFonts w:ascii="Times New Roman" w:eastAsia="Calibri" w:hAnsi="Times New Roman" w:cs="Times New Roman"/>
          <w:sz w:val="28"/>
          <w:szCs w:val="28"/>
        </w:rPr>
        <w:t>26626,8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BD2E6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D2E69">
        <w:rPr>
          <w:rFonts w:ascii="Times New Roman" w:eastAsia="Calibri" w:hAnsi="Times New Roman" w:cs="Times New Roman"/>
          <w:sz w:val="28"/>
          <w:szCs w:val="28"/>
        </w:rPr>
        <w:t>27558,3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373A4CFB" w14:textId="187E9C30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304,7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358,0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440685">
        <w:rPr>
          <w:rFonts w:ascii="Times New Roman" w:eastAsia="Times New Roman" w:hAnsi="Times New Roman" w:cs="Times New Roman"/>
          <w:sz w:val="28"/>
          <w:szCs w:val="28"/>
          <w:lang w:eastAsia="ru-RU"/>
        </w:rPr>
        <w:t>411,9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4AD07435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0105 «Осуществление полномочий по составлению (изменению) списков кандидатов в присяжные заседатели федеральных судов общей юрисдикции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71,1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238D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066E3670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подразделу 01 06 «Обеспечение деятельности финансовых, налоговых и таможенных органов и органов финансового (финансово-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бюджетного) надзора» предусмотрены средства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148,5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179,9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F421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9F421B">
        <w:rPr>
          <w:rFonts w:ascii="Times New Roman" w:eastAsia="Calibri" w:hAnsi="Times New Roman" w:cs="Times New Roman"/>
          <w:sz w:val="28"/>
          <w:szCs w:val="28"/>
        </w:rPr>
        <w:t>247,5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6611DF26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администрации Дубровского района: по 100,0 тыс. рублей на 202</w:t>
      </w:r>
      <w:r w:rsidR="008F0CC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F0CC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F0CC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B48E44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 202</w:t>
      </w:r>
      <w:r w:rsidR="004775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7</w:t>
      </w:r>
      <w:r w:rsidR="00F321D4">
        <w:rPr>
          <w:rFonts w:ascii="Times New Roman" w:eastAsia="Calibri" w:hAnsi="Times New Roman" w:cs="Times New Roman"/>
          <w:sz w:val="28"/>
          <w:szCs w:val="28"/>
        </w:rPr>
        <w:t>392,2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321D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10</w:t>
      </w:r>
      <w:r w:rsidR="00F321D4">
        <w:rPr>
          <w:rFonts w:ascii="Times New Roman" w:eastAsia="Calibri" w:hAnsi="Times New Roman" w:cs="Times New Roman"/>
          <w:sz w:val="28"/>
          <w:szCs w:val="28"/>
        </w:rPr>
        <w:t>751,3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321D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4182,2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FF4A01B" w14:textId="48E002A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02 «Национальная оборона» определены проектом решения в следующих объемах:</w:t>
      </w:r>
    </w:p>
    <w:p w14:paraId="36AED9AA" w14:textId="3529602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E12EE3" w14:textId="79120B6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5D0BC65" w14:textId="4B2234E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335A">
        <w:rPr>
          <w:rFonts w:ascii="Times New Roman" w:eastAsia="Calibri" w:hAnsi="Times New Roman" w:cs="Times New Roman"/>
          <w:sz w:val="28"/>
          <w:szCs w:val="28"/>
        </w:rPr>
        <w:t>761,3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F6267A0" w14:textId="77777777" w:rsidR="003A0CB2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6A122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в 202</w:t>
      </w:r>
      <w:r w:rsidR="006A122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6A122E">
        <w:rPr>
          <w:rFonts w:ascii="Times New Roman" w:eastAsia="Calibri" w:hAnsi="Times New Roman" w:cs="Times New Roman"/>
          <w:sz w:val="28"/>
          <w:szCs w:val="28"/>
        </w:rPr>
        <w:t>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плановом периоде – на </w:t>
      </w:r>
      <w:r w:rsidR="006A122E">
        <w:rPr>
          <w:rFonts w:ascii="Times New Roman" w:eastAsia="Calibri" w:hAnsi="Times New Roman" w:cs="Times New Roman"/>
          <w:sz w:val="28"/>
          <w:szCs w:val="28"/>
        </w:rPr>
        <w:t>10,5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6A122E">
        <w:rPr>
          <w:rFonts w:ascii="Times New Roman" w:eastAsia="Calibri" w:hAnsi="Times New Roman" w:cs="Times New Roman"/>
          <w:sz w:val="28"/>
          <w:szCs w:val="28"/>
        </w:rPr>
        <w:t>14,3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03D820F9" w14:textId="426D8A6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6A122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6A122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14:paraId="5C6F8162" w14:textId="76168FA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81F2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3790,7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7AF5EED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678A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3817,2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163940E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D678A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C0E73">
        <w:rPr>
          <w:rFonts w:ascii="Times New Roman" w:eastAsia="Calibri" w:hAnsi="Times New Roman" w:cs="Times New Roman"/>
          <w:sz w:val="28"/>
          <w:szCs w:val="28"/>
        </w:rPr>
        <w:t>3958,3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FB3855" w14:textId="77777777" w:rsidR="00F9015A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955DEA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955DE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55DEA">
        <w:rPr>
          <w:rFonts w:ascii="Times New Roman" w:eastAsia="Calibri" w:hAnsi="Times New Roman" w:cs="Times New Roman"/>
          <w:sz w:val="28"/>
          <w:szCs w:val="28"/>
        </w:rPr>
        <w:t>105,3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955DEA">
        <w:rPr>
          <w:rFonts w:ascii="Times New Roman" w:eastAsia="Calibri" w:hAnsi="Times New Roman" w:cs="Times New Roman"/>
          <w:sz w:val="28"/>
          <w:szCs w:val="28"/>
        </w:rPr>
        <w:t>106,1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110,0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</w:p>
    <w:p w14:paraId="7ABC4BF8" w14:textId="0D9CFEC0" w:rsidR="007D0D1C" w:rsidRPr="007D0D1C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F9015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F9015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B712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14:paraId="45F12CB4" w14:textId="34ABE5A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12306,1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5B7299D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>8512,9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405A95A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0439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04392">
        <w:rPr>
          <w:rFonts w:ascii="Times New Roman" w:eastAsia="Calibri" w:hAnsi="Times New Roman" w:cs="Times New Roman"/>
          <w:sz w:val="28"/>
          <w:szCs w:val="28"/>
        </w:rPr>
        <w:t>8477,8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CAC21C6" w14:textId="77777777" w:rsidR="00592276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592276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202</w:t>
      </w:r>
      <w:r w:rsidR="00592276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году: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2276">
        <w:rPr>
          <w:rFonts w:ascii="Times New Roman" w:eastAsia="Calibri" w:hAnsi="Times New Roman" w:cs="Times New Roman"/>
          <w:sz w:val="28"/>
          <w:szCs w:val="28"/>
        </w:rPr>
        <w:t>11,5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92276">
        <w:rPr>
          <w:rFonts w:ascii="Times New Roman" w:eastAsia="Calibri" w:hAnsi="Times New Roman" w:cs="Times New Roman"/>
          <w:sz w:val="28"/>
          <w:szCs w:val="28"/>
        </w:rPr>
        <w:t xml:space="preserve">понижение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8</w:t>
      </w:r>
      <w:r w:rsidR="00592276">
        <w:rPr>
          <w:rFonts w:ascii="Times New Roman" w:eastAsia="Calibri" w:hAnsi="Times New Roman" w:cs="Times New Roman"/>
          <w:sz w:val="28"/>
          <w:szCs w:val="28"/>
        </w:rPr>
        <w:t>9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592276">
        <w:rPr>
          <w:rFonts w:ascii="Times New Roman" w:eastAsia="Calibri" w:hAnsi="Times New Roman" w:cs="Times New Roman"/>
          <w:sz w:val="28"/>
          <w:szCs w:val="28"/>
        </w:rPr>
        <w:t xml:space="preserve">понижение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92276">
        <w:rPr>
          <w:rFonts w:ascii="Times New Roman" w:eastAsia="Calibri" w:hAnsi="Times New Roman" w:cs="Times New Roman"/>
          <w:sz w:val="28"/>
          <w:szCs w:val="28"/>
        </w:rPr>
        <w:t>93,1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средств  на момент формирования проекта бюджета. </w:t>
      </w:r>
    </w:p>
    <w:p w14:paraId="2C2B2F7E" w14:textId="5B616B2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04 «Национальная экономика»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,4 %, в 202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</w:t>
      </w:r>
      <w:r w:rsidR="0091586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C491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2,8 процента.</w:t>
      </w:r>
    </w:p>
    <w:p w14:paraId="0FC9B18B" w14:textId="70C35162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Расходы бюджета по разделу в соответствии с ведомственной структурой в 202</w:t>
      </w:r>
      <w:r w:rsidR="00041B9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41B9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администрации Дубровского района, на долю которого в 202</w:t>
      </w:r>
      <w:r w:rsidR="004C4DF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99,</w:t>
      </w:r>
      <w:r w:rsidR="004C4DF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расходов по данному разделу, в 202</w:t>
      </w:r>
      <w:r w:rsidR="004C4DF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C4DF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99,6% соответственно. 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по разделу 05 «Жилищно-коммунальное хозяйство» проектом решения определены в следующих объемах:</w:t>
      </w:r>
    </w:p>
    <w:p w14:paraId="4E3C3191" w14:textId="54F81B8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10182,8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1C1B73E9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974,8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90BCB5" w14:textId="16A29D2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A4B5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16DA">
        <w:rPr>
          <w:rFonts w:ascii="Times New Roman" w:eastAsia="Calibri" w:hAnsi="Times New Roman" w:cs="Times New Roman"/>
          <w:sz w:val="28"/>
          <w:szCs w:val="28"/>
        </w:rPr>
        <w:t>624,8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FA420BB" w14:textId="41B047F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F7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повышением по сравнению с текущим годом в 202</w:t>
      </w:r>
      <w:r w:rsidR="00BD64F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D64F7">
        <w:rPr>
          <w:rFonts w:ascii="Times New Roman" w:eastAsia="Calibri" w:hAnsi="Times New Roman" w:cs="Times New Roman"/>
          <w:sz w:val="28"/>
          <w:szCs w:val="28"/>
        </w:rPr>
        <w:t>11,5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понижением в 202</w:t>
      </w:r>
      <w:r w:rsidR="00BD64F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C57F5">
        <w:rPr>
          <w:rFonts w:ascii="Times New Roman" w:eastAsia="Calibri" w:hAnsi="Times New Roman" w:cs="Times New Roman"/>
          <w:sz w:val="28"/>
          <w:szCs w:val="28"/>
        </w:rPr>
        <w:t>89,3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9</w:t>
      </w:r>
      <w:r w:rsidR="005C57F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5C57F5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При этом отмечено, что в 202</w:t>
      </w:r>
      <w:r w:rsidR="005C57F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5C57F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«Благоустройство»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14:paraId="16886986" w14:textId="1E71B35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2022</w:t>
      </w:r>
      <w:r w:rsidR="00B1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год</w:t>
      </w:r>
      <w:r w:rsidR="00B1700A">
        <w:rPr>
          <w:rFonts w:ascii="Times New Roman" w:eastAsia="Calibri" w:hAnsi="Times New Roman" w:cs="Times New Roman"/>
          <w:sz w:val="28"/>
          <w:szCs w:val="28"/>
        </w:rPr>
        <w:t>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капитальные вложения в объекты муниципальной собственности, строительство и реконструкция (модернизация) объектов питьевого водоснабжения в рамках национального проекта «Экология», федерального проекта «Чистая вода».</w:t>
      </w:r>
    </w:p>
    <w:p w14:paraId="105F33D0" w14:textId="1D562246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разделу 07 «Образование» расходы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245D5F7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B0461">
        <w:rPr>
          <w:rFonts w:ascii="Times New Roman" w:eastAsia="Calibri" w:hAnsi="Times New Roman" w:cs="Times New Roman"/>
          <w:sz w:val="28"/>
          <w:szCs w:val="28"/>
        </w:rPr>
        <w:t>238195,7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70B9869F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195</w:t>
      </w:r>
      <w:r w:rsidR="00CB0461">
        <w:rPr>
          <w:rFonts w:ascii="Times New Roman" w:eastAsia="Calibri" w:hAnsi="Times New Roman" w:cs="Times New Roman"/>
          <w:sz w:val="28"/>
          <w:szCs w:val="28"/>
        </w:rPr>
        <w:t>159,0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419DD8B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 w:rsidR="00CB0461">
        <w:rPr>
          <w:rFonts w:ascii="Times New Roman" w:eastAsia="Calibri" w:hAnsi="Times New Roman" w:cs="Times New Roman"/>
          <w:sz w:val="28"/>
          <w:szCs w:val="28"/>
        </w:rPr>
        <w:t>96394,1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7C195FE" w14:textId="2C7A62A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6</w:t>
      </w:r>
      <w:r w:rsidR="00CB0461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64,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</w:t>
      </w:r>
      <w:r w:rsidR="00CB0461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8</w:t>
      </w:r>
      <w:r w:rsidR="0039243D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39243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% расходов по данному разделу, в 202</w:t>
      </w:r>
      <w:r w:rsidR="0039243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39243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8</w:t>
      </w:r>
      <w:r w:rsidR="00984F59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984F59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- 86,</w:t>
      </w:r>
      <w:r w:rsidR="00984F5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18E6623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расходов в разрезе подразделов представлена </w:t>
      </w:r>
    </w:p>
    <w:p w14:paraId="44B1D164" w14:textId="77777777" w:rsidR="00F245C9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таблице:   </w:t>
      </w:r>
    </w:p>
    <w:p w14:paraId="3D56A95A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D8DE0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0C4C3" w14:textId="77777777" w:rsidR="00F245C9" w:rsidRDefault="00F245C9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305BD" w14:textId="66C8910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8113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   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2"/>
        <w:gridCol w:w="1276"/>
        <w:gridCol w:w="1465"/>
        <w:gridCol w:w="1418"/>
        <w:gridCol w:w="1276"/>
        <w:gridCol w:w="1559"/>
      </w:tblGrid>
      <w:tr w:rsidR="007D0D1C" w:rsidRPr="007D0D1C" w14:paraId="0A386CAE" w14:textId="77777777" w:rsidTr="00D50BD2">
        <w:trPr>
          <w:trHeight w:val="240"/>
        </w:trPr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43B2BF" w14:textId="396834C4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314B213F" w:rsidR="007D0D1C" w:rsidRPr="007D0D1C" w:rsidRDefault="006C1BCB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 в ред. от</w:t>
            </w:r>
            <w:r w:rsidR="00D50BD2">
              <w:rPr>
                <w:rFonts w:ascii="Times New Roman" w:eastAsia="Calibri" w:hAnsi="Times New Roman" w:cs="Times New Roman"/>
                <w:b/>
              </w:rPr>
              <w:t xml:space="preserve"> 29.10.2021 №172-7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245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D50BD2">
        <w:trPr>
          <w:trHeight w:val="517"/>
        </w:trPr>
        <w:tc>
          <w:tcPr>
            <w:tcW w:w="23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0BD377E1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0DEB7259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2100523C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F245C9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8E13B5">
        <w:trPr>
          <w:trHeight w:hRule="exact" w:val="699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383EB815" w14:textId="77777777" w:rsidTr="00D50BD2">
        <w:trPr>
          <w:trHeight w:hRule="exact" w:val="51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7D0D1C" w:rsidRPr="007D0D1C" w:rsidRDefault="007D0D1C" w:rsidP="00D50BD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18892E94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65437,6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2B35" w14:textId="2230FDAB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60299,4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74CF" w14:textId="05C5A550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F9E5" w14:textId="2DE24958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46253,6</w:t>
            </w:r>
          </w:p>
        </w:tc>
      </w:tr>
      <w:tr w:rsidR="007D0D1C" w:rsidRPr="007D0D1C" w14:paraId="351D9A62" w14:textId="77777777" w:rsidTr="00D50BD2">
        <w:trPr>
          <w:trHeight w:hRule="exact" w:val="348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76F43B10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130417,0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3AAD" w14:textId="277C7AED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140673,0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E162" w14:textId="7644BD25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111920,9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1A9B" w14:textId="2890E065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113189,9</w:t>
            </w:r>
          </w:p>
        </w:tc>
      </w:tr>
      <w:tr w:rsidR="007D0D1C" w:rsidRPr="007D0D1C" w14:paraId="45EB81AE" w14:textId="77777777" w:rsidTr="00D50BD2">
        <w:trPr>
          <w:trHeight w:hRule="exact" w:val="654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8659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D157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1D87" w14:textId="4D995916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71AD" w14:textId="4CBACC81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11251,3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C514" w14:textId="3D88A792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68D4" w14:textId="5855CB24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9438,4</w:t>
            </w:r>
          </w:p>
        </w:tc>
      </w:tr>
      <w:tr w:rsidR="007D0D1C" w:rsidRPr="007D0D1C" w14:paraId="3A09F337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113F8924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7277" w14:textId="5EF23A10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FC26" w14:textId="632BBC97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0B22" w14:textId="51FFFC9F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968,5</w:t>
            </w:r>
          </w:p>
        </w:tc>
      </w:tr>
      <w:tr w:rsidR="007D0D1C" w:rsidRPr="007D0D1C" w14:paraId="0A56525A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7A037B38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23252,9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3A5AB" w14:textId="1E950156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24962,4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49D7" w14:textId="43DE9BA6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25690,1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AA34" w14:textId="0EA20E3A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26544,6</w:t>
            </w:r>
          </w:p>
        </w:tc>
      </w:tr>
      <w:tr w:rsidR="007D0D1C" w:rsidRPr="007D0D1C" w14:paraId="5AD8FE8D" w14:textId="77777777" w:rsidTr="00D50BD2">
        <w:trPr>
          <w:trHeight w:hRule="exact" w:val="55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7D0D1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7275981B" w:rsidR="007D0D1C" w:rsidRPr="007D0D1C" w:rsidRDefault="00A54D8B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230062,9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9601" w14:textId="540A99F6" w:rsidR="007D0D1C" w:rsidRPr="007D0D1C" w:rsidRDefault="00B315B4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238195,7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4DA6" w14:textId="2E871788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195159,0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B65D" w14:textId="53826C5B" w:rsidR="007D0D1C" w:rsidRPr="007D0D1C" w:rsidRDefault="00B315B4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196394,1</w:t>
            </w:r>
          </w:p>
        </w:tc>
      </w:tr>
    </w:tbl>
    <w:p w14:paraId="51AA4F4C" w14:textId="044BECF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 в 202</w:t>
      </w:r>
      <w:r w:rsidR="00865AC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5</w:t>
      </w:r>
      <w:r w:rsidR="00865ACC">
        <w:rPr>
          <w:rFonts w:ascii="Times New Roman" w:eastAsia="Calibri" w:hAnsi="Times New Roman" w:cs="Times New Roman"/>
          <w:sz w:val="28"/>
          <w:szCs w:val="28"/>
        </w:rPr>
        <w:t>9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865ACC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бюджетных ассигнований, абсолютное значение расходов на эти цели в 202</w:t>
      </w:r>
      <w:r w:rsidR="00865AC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140673,0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865AC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111920,9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865AC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5ACC">
        <w:rPr>
          <w:rFonts w:ascii="Times New Roman" w:eastAsia="Calibri" w:hAnsi="Times New Roman" w:cs="Times New Roman"/>
          <w:sz w:val="28"/>
          <w:szCs w:val="28"/>
        </w:rPr>
        <w:t>113189,9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DB0FBEA" w14:textId="013539C7" w:rsidR="007D0D1C" w:rsidRDefault="007D0D1C" w:rsidP="007D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В общем объеме расходы по разделу к уровню 2021 года запланированы с увеличением в 2022 году на </w:t>
      </w:r>
      <w:r w:rsidR="002D0569">
        <w:rPr>
          <w:rFonts w:ascii="Times New Roman" w:hAnsi="Times New Roman" w:cs="Times New Roman"/>
          <w:sz w:val="28"/>
          <w:szCs w:val="28"/>
        </w:rPr>
        <w:t>3,5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и с уменьшением в 2023-2024 годах на 1</w:t>
      </w:r>
      <w:r w:rsidR="002D0569">
        <w:rPr>
          <w:rFonts w:ascii="Times New Roman" w:hAnsi="Times New Roman" w:cs="Times New Roman"/>
          <w:sz w:val="28"/>
          <w:szCs w:val="28"/>
        </w:rPr>
        <w:t>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,2 % и на </w:t>
      </w:r>
      <w:r w:rsidR="00C30025">
        <w:rPr>
          <w:rFonts w:ascii="Times New Roman" w:hAnsi="Times New Roman" w:cs="Times New Roman"/>
          <w:sz w:val="28"/>
          <w:szCs w:val="28"/>
        </w:rPr>
        <w:t>14,6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C30025">
        <w:rPr>
          <w:rFonts w:ascii="Times New Roman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разделу 08 «Культура, кинематография» в проекте бюджета запланированы в объемах: </w:t>
      </w:r>
    </w:p>
    <w:p w14:paraId="44288770" w14:textId="0E9D176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27957,9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7CA66EC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13372,4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522EDB2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778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07A8">
        <w:rPr>
          <w:rFonts w:ascii="Times New Roman" w:eastAsia="Calibri" w:hAnsi="Times New Roman" w:cs="Times New Roman"/>
          <w:sz w:val="28"/>
          <w:szCs w:val="28"/>
        </w:rPr>
        <w:t>12786,6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6893C9A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707A8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707A8">
        <w:rPr>
          <w:rFonts w:ascii="Times New Roman" w:eastAsia="Calibri" w:hAnsi="Times New Roman" w:cs="Times New Roman"/>
          <w:sz w:val="28"/>
          <w:szCs w:val="28"/>
        </w:rPr>
        <w:t>111,9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C707A8">
        <w:rPr>
          <w:rFonts w:ascii="Times New Roman" w:eastAsia="Calibri" w:hAnsi="Times New Roman" w:cs="Times New Roman"/>
          <w:sz w:val="28"/>
          <w:szCs w:val="28"/>
        </w:rPr>
        <w:t>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707A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707A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EAF196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По разделу 10 «Социальная политика» расходы проектом бюджета определены в объеме:</w:t>
      </w:r>
    </w:p>
    <w:p w14:paraId="69B35BD0" w14:textId="0E1EF6F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CE1">
        <w:rPr>
          <w:rFonts w:ascii="Times New Roman" w:eastAsia="Calibri" w:hAnsi="Times New Roman" w:cs="Times New Roman"/>
          <w:sz w:val="28"/>
          <w:szCs w:val="28"/>
        </w:rPr>
        <w:t>16069,8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6249F6B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CE1">
        <w:rPr>
          <w:rFonts w:ascii="Times New Roman" w:eastAsia="Calibri" w:hAnsi="Times New Roman" w:cs="Times New Roman"/>
          <w:sz w:val="28"/>
          <w:szCs w:val="28"/>
        </w:rPr>
        <w:t>17099,0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7B7904A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9C1CE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18</w:t>
      </w:r>
      <w:r w:rsidR="009C1CE1">
        <w:rPr>
          <w:rFonts w:ascii="Times New Roman" w:eastAsia="Calibri" w:hAnsi="Times New Roman" w:cs="Times New Roman"/>
          <w:sz w:val="28"/>
          <w:szCs w:val="28"/>
        </w:rPr>
        <w:t>548,9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F40C684" w14:textId="4D3FF37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0443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404437">
        <w:rPr>
          <w:rFonts w:ascii="Times New Roman" w:eastAsia="Calibri" w:hAnsi="Times New Roman" w:cs="Times New Roman"/>
          <w:sz w:val="28"/>
          <w:szCs w:val="28"/>
        </w:rPr>
        <w:t>16069,8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404437">
        <w:rPr>
          <w:rFonts w:ascii="Times New Roman" w:eastAsia="Calibri" w:hAnsi="Times New Roman" w:cs="Times New Roman"/>
          <w:sz w:val="28"/>
          <w:szCs w:val="28"/>
        </w:rPr>
        <w:t>87,6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30C7E2F" w14:textId="6BC9B6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4,5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04437">
        <w:rPr>
          <w:rFonts w:ascii="Times New Roman" w:eastAsia="Calibri" w:hAnsi="Times New Roman" w:cs="Times New Roman"/>
          <w:sz w:val="28"/>
          <w:szCs w:val="28"/>
        </w:rPr>
        <w:t>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ведомственной структурой расходы в 202</w:t>
      </w:r>
      <w:r w:rsidR="0040443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0443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3CBA8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11 «Физическая культура и спорт» расходы проектом бюджета определены в объеме:</w:t>
      </w:r>
    </w:p>
    <w:p w14:paraId="770602E9" w14:textId="66C68805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7578,2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528C826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17540,9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648F0F7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A16E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6E2A">
        <w:rPr>
          <w:rFonts w:ascii="Times New Roman" w:eastAsia="Calibri" w:hAnsi="Times New Roman" w:cs="Times New Roman"/>
          <w:sz w:val="28"/>
          <w:szCs w:val="28"/>
        </w:rPr>
        <w:t>7369,5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94C9EC5" w14:textId="25C319E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86334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86334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863347">
        <w:rPr>
          <w:rFonts w:ascii="Times New Roman" w:eastAsia="Calibri" w:hAnsi="Times New Roman" w:cs="Times New Roman"/>
          <w:sz w:val="28"/>
          <w:szCs w:val="28"/>
        </w:rPr>
        <w:t>7578,2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63347">
        <w:rPr>
          <w:rFonts w:ascii="Times New Roman" w:eastAsia="Calibri" w:hAnsi="Times New Roman" w:cs="Times New Roman"/>
          <w:sz w:val="28"/>
          <w:szCs w:val="28"/>
        </w:rPr>
        <w:t>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B73E148" w14:textId="163008E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2,1%,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5,8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B254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2 подразделами:</w:t>
      </w:r>
    </w:p>
    <w:p w14:paraId="67964857" w14:textId="301C420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1101 «физическая культура» расходы предусмотрены на</w:t>
      </w:r>
    </w:p>
    <w:p w14:paraId="0B6232DC" w14:textId="21AEF9C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2788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6868,2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2788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14354,5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72788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27887">
        <w:rPr>
          <w:rFonts w:ascii="Times New Roman" w:eastAsia="Calibri" w:hAnsi="Times New Roman" w:cs="Times New Roman"/>
          <w:sz w:val="28"/>
          <w:szCs w:val="28"/>
        </w:rPr>
        <w:t>6869,5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– 7463,6 тыс. рублей</w:t>
      </w:r>
    </w:p>
    <w:p w14:paraId="5145E20F" w14:textId="1F8DAA2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1102 «массовый спорт» расходы предусмотрены на мероприятия по развитию физической культуры и спорта на 202</w:t>
      </w:r>
      <w:r w:rsidR="00186E2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71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рублей, на 202</w:t>
      </w:r>
      <w:r w:rsidR="00186E2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–500,0 тыс. рублей, 202</w:t>
      </w:r>
      <w:r w:rsidR="00186E2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50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00FE45E0" w14:textId="3D8B7A5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210,0 тыс. рублей,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рублей, 202</w:t>
      </w:r>
      <w:r w:rsidR="00D07A4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3B508DC" w14:textId="6B2199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14 «Межбюджетные трансферты общего характера бюджетам бюджетной системы Российской Федерации» расходы в проекте решения определены в следующих объемах:</w:t>
      </w:r>
    </w:p>
    <w:p w14:paraId="6321C9CB" w14:textId="0FD874A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292B">
        <w:rPr>
          <w:rFonts w:ascii="Times New Roman" w:eastAsia="Calibri" w:hAnsi="Times New Roman" w:cs="Times New Roman"/>
          <w:sz w:val="28"/>
          <w:szCs w:val="28"/>
        </w:rPr>
        <w:t>2209,0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00F51EC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6292B">
        <w:rPr>
          <w:rFonts w:ascii="Times New Roman" w:eastAsia="Calibri" w:hAnsi="Times New Roman" w:cs="Times New Roman"/>
          <w:sz w:val="28"/>
          <w:szCs w:val="28"/>
        </w:rPr>
        <w:t>1809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7CDE295" w14:textId="04370D3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B629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18</w:t>
      </w:r>
      <w:r w:rsidR="00B6292B">
        <w:rPr>
          <w:rFonts w:ascii="Times New Roman" w:eastAsia="Calibri" w:hAnsi="Times New Roman" w:cs="Times New Roman"/>
          <w:sz w:val="28"/>
          <w:szCs w:val="28"/>
        </w:rPr>
        <w:t>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0CEE74DE" w14:textId="7228B50B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5D77D4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D77D4">
        <w:rPr>
          <w:rFonts w:ascii="Times New Roman" w:eastAsia="Calibri" w:hAnsi="Times New Roman" w:cs="Times New Roman"/>
          <w:sz w:val="28"/>
          <w:szCs w:val="28"/>
        </w:rPr>
        <w:t>15,3%, в 2023 году на 30,6%, в 2024 году – 30,6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202</w:t>
      </w:r>
      <w:r w:rsidR="005D77D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5D77D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района.</w:t>
      </w:r>
    </w:p>
    <w:p w14:paraId="33061083" w14:textId="2EC1646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47EBB" w14:textId="14EEAD32" w:rsidR="008D6652" w:rsidRDefault="008D6652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701CD" w14:textId="278CD683" w:rsidR="008D6652" w:rsidRDefault="008D6652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43D59" w14:textId="3C5E8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5.2. Расходы в разрезе главных распорядителей средств бюджета</w:t>
      </w:r>
    </w:p>
    <w:p w14:paraId="3FA224F2" w14:textId="11C8CCD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2021 год и на плановый период 2022 и 2023 годов сформирована по 6 главным распорядителям расходов бюджета. </w:t>
      </w:r>
    </w:p>
    <w:p w14:paraId="4A7038CC" w14:textId="59D2663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2021 году и плановом периоде 2022 и 2023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202</w:t>
      </w:r>
      <w:r w:rsidR="0064381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2B5560">
        <w:rPr>
          <w:rFonts w:ascii="Times New Roman" w:eastAsia="Calibri" w:hAnsi="Times New Roman" w:cs="Times New Roman"/>
          <w:sz w:val="28"/>
          <w:szCs w:val="28"/>
        </w:rPr>
        <w:t>5</w:t>
      </w:r>
      <w:r w:rsidR="002B5560">
        <w:rPr>
          <w:rFonts w:ascii="Times New Roman" w:eastAsia="Calibri" w:hAnsi="Times New Roman" w:cs="Times New Roman"/>
          <w:sz w:val="28"/>
          <w:szCs w:val="28"/>
        </w:rPr>
        <w:t>9</w:t>
      </w:r>
      <w:r w:rsidRPr="002B5560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1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202</w:t>
      </w:r>
      <w:r w:rsidR="002B556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B556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5560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таблице.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3822A06F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2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55226FBA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7458F06A" w14:textId="1A961B98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0A6B7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0CE96D20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358983,1</w:t>
            </w:r>
          </w:p>
        </w:tc>
        <w:tc>
          <w:tcPr>
            <w:tcW w:w="1559" w:type="dxa"/>
            <w:vAlign w:val="center"/>
          </w:tcPr>
          <w:p w14:paraId="2E3A66CF" w14:textId="12E093B1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701" w:type="dxa"/>
            <w:vAlign w:val="center"/>
          </w:tcPr>
          <w:p w14:paraId="1186CCBF" w14:textId="4343F6BD" w:rsidR="007D0D1C" w:rsidRPr="007D0D1C" w:rsidRDefault="008216F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  <w:tr w:rsidR="007D0D1C" w:rsidRPr="007D0D1C" w14:paraId="6F736C0E" w14:textId="77777777" w:rsidTr="00477561">
        <w:tc>
          <w:tcPr>
            <w:tcW w:w="4360" w:type="dxa"/>
          </w:tcPr>
          <w:p w14:paraId="19AEC4DA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vAlign w:val="center"/>
          </w:tcPr>
          <w:p w14:paraId="60C2A58D" w14:textId="2FA2A9AC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136236,1</w:t>
            </w:r>
          </w:p>
        </w:tc>
        <w:tc>
          <w:tcPr>
            <w:tcW w:w="1559" w:type="dxa"/>
            <w:vAlign w:val="center"/>
          </w:tcPr>
          <w:p w14:paraId="26560191" w14:textId="0B928554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119515,5</w:t>
            </w:r>
          </w:p>
        </w:tc>
        <w:tc>
          <w:tcPr>
            <w:tcW w:w="1701" w:type="dxa"/>
            <w:vAlign w:val="center"/>
          </w:tcPr>
          <w:p w14:paraId="4C86EE5E" w14:textId="5D881E1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111767,4</w:t>
            </w:r>
          </w:p>
        </w:tc>
      </w:tr>
      <w:tr w:rsidR="007D0D1C" w:rsidRPr="007D0D1C" w14:paraId="44BA6798" w14:textId="77777777" w:rsidTr="00477561">
        <w:tc>
          <w:tcPr>
            <w:tcW w:w="4360" w:type="dxa"/>
          </w:tcPr>
          <w:p w14:paraId="3A05421B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vAlign w:val="center"/>
          </w:tcPr>
          <w:p w14:paraId="76C5EABC" w14:textId="1E86F5AA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471,2</w:t>
            </w:r>
          </w:p>
        </w:tc>
        <w:tc>
          <w:tcPr>
            <w:tcW w:w="1559" w:type="dxa"/>
            <w:vAlign w:val="center"/>
          </w:tcPr>
          <w:p w14:paraId="21CB21D7" w14:textId="4D6A2D72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488,7</w:t>
            </w:r>
          </w:p>
        </w:tc>
        <w:tc>
          <w:tcPr>
            <w:tcW w:w="1701" w:type="dxa"/>
            <w:vAlign w:val="center"/>
          </w:tcPr>
          <w:p w14:paraId="08DDEC2E" w14:textId="319ACCF2" w:rsidR="007D0D1C" w:rsidRPr="007D0D1C" w:rsidRDefault="00FE52FF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506,9</w:t>
            </w:r>
          </w:p>
        </w:tc>
      </w:tr>
      <w:tr w:rsidR="007D0D1C" w:rsidRPr="007D0D1C" w14:paraId="7BC4D635" w14:textId="77777777" w:rsidTr="00477561">
        <w:tc>
          <w:tcPr>
            <w:tcW w:w="4360" w:type="dxa"/>
          </w:tcPr>
          <w:p w14:paraId="3E25059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2D55383F" w14:textId="4C4A836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7936,0</w:t>
            </w:r>
          </w:p>
        </w:tc>
        <w:tc>
          <w:tcPr>
            <w:tcW w:w="1559" w:type="dxa"/>
            <w:vAlign w:val="center"/>
          </w:tcPr>
          <w:p w14:paraId="395B850E" w14:textId="5B632090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10600,0</w:t>
            </w:r>
          </w:p>
        </w:tc>
        <w:tc>
          <w:tcPr>
            <w:tcW w:w="1701" w:type="dxa"/>
            <w:vAlign w:val="center"/>
          </w:tcPr>
          <w:p w14:paraId="070C3E76" w14:textId="7F163EA5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13851,0</w:t>
            </w:r>
          </w:p>
        </w:tc>
      </w:tr>
      <w:tr w:rsidR="007D0D1C" w:rsidRPr="007D0D1C" w14:paraId="606C6F1D" w14:textId="77777777" w:rsidTr="00477561">
        <w:tc>
          <w:tcPr>
            <w:tcW w:w="4360" w:type="dxa"/>
          </w:tcPr>
          <w:p w14:paraId="495AA8F0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vAlign w:val="center"/>
          </w:tcPr>
          <w:p w14:paraId="360FD86E" w14:textId="0599433E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521,5</w:t>
            </w:r>
          </w:p>
        </w:tc>
        <w:tc>
          <w:tcPr>
            <w:tcW w:w="1559" w:type="dxa"/>
            <w:vAlign w:val="center"/>
          </w:tcPr>
          <w:p w14:paraId="18EEB441" w14:textId="4B6862AF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498,9</w:t>
            </w:r>
          </w:p>
        </w:tc>
        <w:tc>
          <w:tcPr>
            <w:tcW w:w="1701" w:type="dxa"/>
            <w:vAlign w:val="center"/>
          </w:tcPr>
          <w:p w14:paraId="1885CF3F" w14:textId="667C945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510,5</w:t>
            </w:r>
          </w:p>
        </w:tc>
      </w:tr>
      <w:tr w:rsidR="007D0D1C" w:rsidRPr="007D0D1C" w14:paraId="56A7FB71" w14:textId="77777777" w:rsidTr="00477561">
        <w:tc>
          <w:tcPr>
            <w:tcW w:w="4360" w:type="dxa"/>
          </w:tcPr>
          <w:p w14:paraId="3AEF9376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13F8ED3D" w14:textId="463EB766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1615,9</w:t>
            </w:r>
          </w:p>
        </w:tc>
        <w:tc>
          <w:tcPr>
            <w:tcW w:w="1559" w:type="dxa"/>
            <w:vAlign w:val="center"/>
          </w:tcPr>
          <w:p w14:paraId="4FB1E8B1" w14:textId="23404EF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1568,0</w:t>
            </w:r>
          </w:p>
        </w:tc>
        <w:tc>
          <w:tcPr>
            <w:tcW w:w="1701" w:type="dxa"/>
            <w:vAlign w:val="center"/>
          </w:tcPr>
          <w:p w14:paraId="7738BC98" w14:textId="6F164C50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1628,7</w:t>
            </w:r>
          </w:p>
        </w:tc>
      </w:tr>
      <w:tr w:rsidR="007D0D1C" w:rsidRPr="007D0D1C" w14:paraId="2B6E754C" w14:textId="77777777" w:rsidTr="00477561">
        <w:tc>
          <w:tcPr>
            <w:tcW w:w="4360" w:type="dxa"/>
          </w:tcPr>
          <w:p w14:paraId="0566115F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  <w:vAlign w:val="center"/>
          </w:tcPr>
          <w:p w14:paraId="37B50B88" w14:textId="096C598C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212202,3</w:t>
            </w:r>
          </w:p>
        </w:tc>
        <w:tc>
          <w:tcPr>
            <w:tcW w:w="1559" w:type="dxa"/>
            <w:vAlign w:val="center"/>
          </w:tcPr>
          <w:p w14:paraId="378825B7" w14:textId="7D19A612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170501,4</w:t>
            </w:r>
          </w:p>
        </w:tc>
        <w:tc>
          <w:tcPr>
            <w:tcW w:w="1701" w:type="dxa"/>
            <w:vAlign w:val="center"/>
          </w:tcPr>
          <w:p w14:paraId="7D1BB7FE" w14:textId="4F99628B" w:rsidR="007D0D1C" w:rsidRPr="007D0D1C" w:rsidRDefault="00F10AE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171064,5</w:t>
            </w:r>
          </w:p>
        </w:tc>
      </w:tr>
    </w:tbl>
    <w:p w14:paraId="4796BF59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791E5" w14:textId="6433BABF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 Муниципальные программы 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0383023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DE1B4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E1B4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E1B4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587307E2" w14:textId="2B6EEF6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распределения расходов бюджета по муниципальным программам на 202</w:t>
      </w:r>
      <w:r w:rsidR="00F637B3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637B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637B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190A47">
        <w:rPr>
          <w:rFonts w:ascii="Times New Roman" w:eastAsia="Calibri" w:hAnsi="Times New Roman" w:cs="Times New Roman"/>
          <w:sz w:val="28"/>
          <w:szCs w:val="28"/>
        </w:rPr>
        <w:t>357890,4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99,7 % общего объема расходов бюджета,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0A47">
        <w:rPr>
          <w:rFonts w:ascii="Times New Roman" w:eastAsia="Calibri" w:hAnsi="Times New Roman" w:cs="Times New Roman"/>
          <w:sz w:val="28"/>
          <w:szCs w:val="28"/>
        </w:rPr>
        <w:t>299074,8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90A4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90A47">
        <w:rPr>
          <w:rFonts w:ascii="Times New Roman" w:eastAsia="Calibri" w:hAnsi="Times New Roman" w:cs="Times New Roman"/>
          <w:sz w:val="28"/>
          <w:szCs w:val="28"/>
        </w:rPr>
        <w:t>292006,5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98,</w:t>
      </w:r>
      <w:r w:rsidR="00190A47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190A47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</w:p>
    <w:p w14:paraId="5002463D" w14:textId="6899C95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314F36">
        <w:rPr>
          <w:rFonts w:ascii="Times New Roman" w:eastAsia="Calibri" w:hAnsi="Times New Roman" w:cs="Times New Roman"/>
          <w:sz w:val="28"/>
          <w:szCs w:val="28"/>
        </w:rPr>
        <w:t>12512,8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314F36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2034E">
        <w:rPr>
          <w:rFonts w:ascii="Times New Roman" w:eastAsia="Calibri" w:hAnsi="Times New Roman" w:cs="Times New Roman"/>
          <w:sz w:val="28"/>
          <w:szCs w:val="28"/>
        </w:rPr>
        <w:t>–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4E">
        <w:rPr>
          <w:rFonts w:ascii="Times New Roman" w:eastAsia="Calibri" w:hAnsi="Times New Roman" w:cs="Times New Roman"/>
          <w:sz w:val="28"/>
          <w:szCs w:val="28"/>
        </w:rPr>
        <w:t>1092,7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2034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2034E">
        <w:rPr>
          <w:rFonts w:ascii="Times New Roman" w:eastAsia="Calibri" w:hAnsi="Times New Roman" w:cs="Times New Roman"/>
          <w:sz w:val="28"/>
          <w:szCs w:val="28"/>
        </w:rPr>
        <w:t>4097,7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2034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F2034E">
        <w:rPr>
          <w:rFonts w:ascii="Times New Roman" w:eastAsia="Calibri" w:hAnsi="Times New Roman" w:cs="Times New Roman"/>
          <w:sz w:val="28"/>
          <w:szCs w:val="28"/>
        </w:rPr>
        <w:t>7322,4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24D6389" w14:textId="466F0E1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неё вошли расходы на обеспечение деятельности законодательного (представительного) органа муниципального образования, контрольно-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счётного органа, резервный фонд администрации Дубровского района, условно утвержденные расходы на 202</w:t>
      </w:r>
      <w:r w:rsidR="00B24BA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B24BA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годы. </w:t>
      </w:r>
    </w:p>
    <w:p w14:paraId="6DF03C4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представлены в таблице.</w:t>
      </w:r>
    </w:p>
    <w:p w14:paraId="34459B3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  <w:t>тыс. рублей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4"/>
      </w:tblGrid>
      <w:tr w:rsidR="007D0D1C" w:rsidRPr="007D0D1C" w14:paraId="22C2A6AE" w14:textId="77777777" w:rsidTr="00A40352">
        <w:tc>
          <w:tcPr>
            <w:tcW w:w="4644" w:type="dxa"/>
            <w:vAlign w:val="center"/>
          </w:tcPr>
          <w:p w14:paraId="6D6107C3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E73C22B" w14:textId="1CFA984A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9ECCF0C" w14:textId="27552258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14:paraId="0CD000FD" w14:textId="678794CC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5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D0D1C" w:rsidRPr="007D0D1C" w14:paraId="24EEC60F" w14:textId="77777777" w:rsidTr="00A40352">
        <w:tc>
          <w:tcPr>
            <w:tcW w:w="4644" w:type="dxa"/>
            <w:vAlign w:val="center"/>
          </w:tcPr>
          <w:p w14:paraId="2081209A" w14:textId="2A633D82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Реализация отдельных полномочий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 </w:t>
            </w:r>
          </w:p>
        </w:tc>
        <w:tc>
          <w:tcPr>
            <w:tcW w:w="1701" w:type="dxa"/>
            <w:vAlign w:val="center"/>
          </w:tcPr>
          <w:p w14:paraId="14CC810D" w14:textId="5325BC5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93771,7</w:t>
            </w:r>
          </w:p>
        </w:tc>
        <w:tc>
          <w:tcPr>
            <w:tcW w:w="1701" w:type="dxa"/>
            <w:vAlign w:val="center"/>
          </w:tcPr>
          <w:p w14:paraId="047F7FAE" w14:textId="1E7D3649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91045,2</w:t>
            </w:r>
          </w:p>
        </w:tc>
        <w:tc>
          <w:tcPr>
            <w:tcW w:w="1524" w:type="dxa"/>
            <w:vAlign w:val="center"/>
          </w:tcPr>
          <w:p w14:paraId="2A51F347" w14:textId="25CE1586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83296,8</w:t>
            </w:r>
          </w:p>
        </w:tc>
      </w:tr>
      <w:tr w:rsidR="007D0D1C" w:rsidRPr="007D0D1C" w14:paraId="0E81EE35" w14:textId="77777777" w:rsidTr="00A40352">
        <w:tc>
          <w:tcPr>
            <w:tcW w:w="4644" w:type="dxa"/>
            <w:vAlign w:val="center"/>
          </w:tcPr>
          <w:p w14:paraId="7730EA10" w14:textId="4C8FECE1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Развитие образования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2A9065FE" w14:textId="248D1F6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228324,8</w:t>
            </w:r>
          </w:p>
        </w:tc>
        <w:tc>
          <w:tcPr>
            <w:tcW w:w="1701" w:type="dxa"/>
            <w:vAlign w:val="center"/>
          </w:tcPr>
          <w:p w14:paraId="00A5969F" w14:textId="7E6B7B7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187167,2</w:t>
            </w:r>
          </w:p>
        </w:tc>
        <w:tc>
          <w:tcPr>
            <w:tcW w:w="1524" w:type="dxa"/>
            <w:vAlign w:val="center"/>
          </w:tcPr>
          <w:p w14:paraId="6B9000F7" w14:textId="3D8742D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188377,1</w:t>
            </w:r>
          </w:p>
        </w:tc>
      </w:tr>
      <w:tr w:rsidR="007D0D1C" w:rsidRPr="007D0D1C" w14:paraId="2199B898" w14:textId="77777777" w:rsidTr="00A40352">
        <w:tc>
          <w:tcPr>
            <w:tcW w:w="4644" w:type="dxa"/>
            <w:vAlign w:val="center"/>
          </w:tcPr>
          <w:p w14:paraId="299C2A9E" w14:textId="7CF41505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Развитие культуры и сохранение культурного наследия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671BAE30" w14:textId="16749B2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27957,9</w:t>
            </w:r>
          </w:p>
        </w:tc>
        <w:tc>
          <w:tcPr>
            <w:tcW w:w="1701" w:type="dxa"/>
            <w:vAlign w:val="center"/>
          </w:tcPr>
          <w:p w14:paraId="2BF64985" w14:textId="623AD44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13372,4</w:t>
            </w:r>
          </w:p>
        </w:tc>
        <w:tc>
          <w:tcPr>
            <w:tcW w:w="1524" w:type="dxa"/>
            <w:vAlign w:val="center"/>
          </w:tcPr>
          <w:p w14:paraId="226F443E" w14:textId="1884C6EB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12786,6</w:t>
            </w:r>
          </w:p>
        </w:tc>
      </w:tr>
      <w:tr w:rsidR="007D0D1C" w:rsidRPr="007D0D1C" w14:paraId="3684BEC6" w14:textId="77777777" w:rsidTr="00A40352">
        <w:tc>
          <w:tcPr>
            <w:tcW w:w="4644" w:type="dxa"/>
            <w:vAlign w:val="center"/>
          </w:tcPr>
          <w:p w14:paraId="214B704B" w14:textId="69C2F449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Управление муниципальными финансами Дубровского муниципального района Брянской области (202</w:t>
            </w:r>
            <w:r w:rsidR="00857BA6">
              <w:rPr>
                <w:rFonts w:ascii="Times New Roman" w:eastAsia="Calibri" w:hAnsi="Times New Roman" w:cs="Times New Roman"/>
              </w:rPr>
              <w:t>2</w:t>
            </w:r>
            <w:r w:rsidRPr="007D0D1C">
              <w:rPr>
                <w:rFonts w:ascii="Times New Roman" w:eastAsia="Calibri" w:hAnsi="Times New Roman" w:cs="Times New Roman"/>
              </w:rPr>
              <w:t>-202</w:t>
            </w:r>
            <w:r w:rsidR="00857BA6">
              <w:rPr>
                <w:rFonts w:ascii="Times New Roman" w:eastAsia="Calibri" w:hAnsi="Times New Roman" w:cs="Times New Roman"/>
              </w:rPr>
              <w:t>4</w:t>
            </w:r>
            <w:r w:rsidRPr="007D0D1C">
              <w:rPr>
                <w:rFonts w:ascii="Times New Roman" w:eastAsia="Calibri" w:hAnsi="Times New Roman" w:cs="Times New Roman"/>
              </w:rPr>
              <w:t xml:space="preserve"> годы)</w:t>
            </w:r>
          </w:p>
        </w:tc>
        <w:tc>
          <w:tcPr>
            <w:tcW w:w="1701" w:type="dxa"/>
            <w:vAlign w:val="center"/>
          </w:tcPr>
          <w:p w14:paraId="661FB540" w14:textId="7DB3DF6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7836,0</w:t>
            </w:r>
          </w:p>
        </w:tc>
        <w:tc>
          <w:tcPr>
            <w:tcW w:w="1701" w:type="dxa"/>
            <w:vAlign w:val="center"/>
          </w:tcPr>
          <w:p w14:paraId="69794771" w14:textId="699054E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7490,0</w:t>
            </w:r>
          </w:p>
        </w:tc>
        <w:tc>
          <w:tcPr>
            <w:tcW w:w="1524" w:type="dxa"/>
            <w:vAlign w:val="center"/>
          </w:tcPr>
          <w:p w14:paraId="6CB6A92B" w14:textId="50680DFE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7546,0</w:t>
            </w:r>
          </w:p>
        </w:tc>
      </w:tr>
      <w:tr w:rsidR="007D0D1C" w:rsidRPr="007D0D1C" w14:paraId="3F8B941E" w14:textId="77777777" w:rsidTr="00A40352">
        <w:tc>
          <w:tcPr>
            <w:tcW w:w="4644" w:type="dxa"/>
            <w:vAlign w:val="center"/>
          </w:tcPr>
          <w:p w14:paraId="1D9777FD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14:paraId="56E2F861" w14:textId="4FB669CF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357890,4</w:t>
            </w:r>
          </w:p>
        </w:tc>
        <w:tc>
          <w:tcPr>
            <w:tcW w:w="1701" w:type="dxa"/>
            <w:vAlign w:val="center"/>
          </w:tcPr>
          <w:p w14:paraId="5C5F886A" w14:textId="2B553A14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299074,8</w:t>
            </w:r>
          </w:p>
        </w:tc>
        <w:tc>
          <w:tcPr>
            <w:tcW w:w="1524" w:type="dxa"/>
            <w:vAlign w:val="center"/>
          </w:tcPr>
          <w:p w14:paraId="580128EB" w14:textId="5766D949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292006,5</w:t>
            </w:r>
          </w:p>
        </w:tc>
      </w:tr>
      <w:tr w:rsidR="007D0D1C" w:rsidRPr="007D0D1C" w14:paraId="53A6AE5C" w14:textId="77777777" w:rsidTr="00A40352">
        <w:tc>
          <w:tcPr>
            <w:tcW w:w="4644" w:type="dxa"/>
            <w:vAlign w:val="center"/>
          </w:tcPr>
          <w:p w14:paraId="68BE0715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Непрограммная деятельность</w:t>
            </w:r>
          </w:p>
        </w:tc>
        <w:tc>
          <w:tcPr>
            <w:tcW w:w="1701" w:type="dxa"/>
            <w:vAlign w:val="center"/>
          </w:tcPr>
          <w:p w14:paraId="5D2295B5" w14:textId="63C1E5A0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1092,7</w:t>
            </w:r>
          </w:p>
        </w:tc>
        <w:tc>
          <w:tcPr>
            <w:tcW w:w="1701" w:type="dxa"/>
            <w:vAlign w:val="center"/>
          </w:tcPr>
          <w:p w14:paraId="12D61BDF" w14:textId="74256D8A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4097,7</w:t>
            </w:r>
          </w:p>
        </w:tc>
        <w:tc>
          <w:tcPr>
            <w:tcW w:w="1524" w:type="dxa"/>
            <w:vAlign w:val="center"/>
          </w:tcPr>
          <w:p w14:paraId="3AF7E8B1" w14:textId="13CAADEC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7322,4</w:t>
            </w:r>
          </w:p>
        </w:tc>
      </w:tr>
      <w:tr w:rsidR="007D0D1C" w:rsidRPr="007D0D1C" w14:paraId="17C29F71" w14:textId="77777777" w:rsidTr="00A40352">
        <w:tc>
          <w:tcPr>
            <w:tcW w:w="4644" w:type="dxa"/>
            <w:vAlign w:val="center"/>
          </w:tcPr>
          <w:p w14:paraId="3C7BD404" w14:textId="77777777" w:rsidR="007D0D1C" w:rsidRPr="007D0D1C" w:rsidRDefault="007D0D1C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14:paraId="75817A10" w14:textId="33283C9C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358983,1</w:t>
            </w:r>
          </w:p>
        </w:tc>
        <w:tc>
          <w:tcPr>
            <w:tcW w:w="1701" w:type="dxa"/>
            <w:vAlign w:val="center"/>
          </w:tcPr>
          <w:p w14:paraId="0334A523" w14:textId="7B49DF71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303172,5</w:t>
            </w:r>
          </w:p>
        </w:tc>
        <w:tc>
          <w:tcPr>
            <w:tcW w:w="1524" w:type="dxa"/>
            <w:vAlign w:val="center"/>
          </w:tcPr>
          <w:p w14:paraId="15AFE3CB" w14:textId="342CE146" w:rsidR="007D0D1C" w:rsidRPr="007D0D1C" w:rsidRDefault="0099676F" w:rsidP="007D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299328,9</w:t>
            </w:r>
          </w:p>
        </w:tc>
      </w:tr>
    </w:tbl>
    <w:p w14:paraId="6F74D4AA" w14:textId="1A17116A" w:rsidR="00440B18" w:rsidRPr="00440B18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в составе муниципальных программ запланированы бюджетные ассигнования на реализацию региональных проектов с объемом финансирования на 2022-2024 годы в сумме </w:t>
      </w:r>
      <w:r w:rsidR="002D2C76">
        <w:rPr>
          <w:rFonts w:ascii="Times New Roman" w:eastAsia="Calibri" w:hAnsi="Times New Roman" w:cs="Times New Roman"/>
          <w:sz w:val="28"/>
          <w:szCs w:val="28"/>
        </w:rPr>
        <w:t>12097,9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в 2022 году на сумму </w:t>
      </w:r>
      <w:r w:rsidR="002D2C76">
        <w:rPr>
          <w:rFonts w:ascii="Times New Roman" w:eastAsia="Calibri" w:hAnsi="Times New Roman" w:cs="Times New Roman"/>
          <w:sz w:val="28"/>
          <w:szCs w:val="28"/>
        </w:rPr>
        <w:t>9338,0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рублей, в 2023 году на сумму </w:t>
      </w:r>
      <w:r w:rsidR="002D2C76">
        <w:rPr>
          <w:rFonts w:ascii="Times New Roman" w:eastAsia="Calibri" w:hAnsi="Times New Roman" w:cs="Times New Roman"/>
          <w:sz w:val="28"/>
          <w:szCs w:val="28"/>
        </w:rPr>
        <w:t>2759,9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 тыс. рублей. На 2024 год бюджетные ассигнования </w:t>
      </w:r>
      <w:r w:rsidR="002D2C7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440B18">
        <w:rPr>
          <w:rFonts w:ascii="Times New Roman" w:eastAsia="Calibri" w:hAnsi="Times New Roman" w:cs="Times New Roman"/>
          <w:sz w:val="28"/>
          <w:szCs w:val="28"/>
        </w:rPr>
        <w:t xml:space="preserve">предусмотрены. </w:t>
      </w:r>
    </w:p>
    <w:p w14:paraId="700F6814" w14:textId="77777777" w:rsidR="00440B18" w:rsidRPr="00440B18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B18">
        <w:rPr>
          <w:rFonts w:ascii="Times New Roman" w:eastAsia="Calibri" w:hAnsi="Times New Roman" w:cs="Times New Roman"/>
          <w:sz w:val="28"/>
          <w:szCs w:val="28"/>
        </w:rPr>
        <w:t>Информация о бюджетных ассигнованиях, запланированных на реализацию региональных проектов в период 2022-2024 годов, представлена в таблице.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1007"/>
        <w:gridCol w:w="1864"/>
        <w:gridCol w:w="1864"/>
        <w:gridCol w:w="1853"/>
      </w:tblGrid>
      <w:tr w:rsidR="00FB1BAA" w:rsidRPr="00440B18" w14:paraId="17D82272" w14:textId="77777777" w:rsidTr="00FB1BAA">
        <w:tc>
          <w:tcPr>
            <w:tcW w:w="2756" w:type="dxa"/>
          </w:tcPr>
          <w:p w14:paraId="1A18BDE1" w14:textId="5E6101BC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1A4B7A"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</w:t>
            </w: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07" w:type="dxa"/>
            <w:vAlign w:val="center"/>
          </w:tcPr>
          <w:p w14:paraId="423928E5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64" w:type="dxa"/>
            <w:vAlign w:val="center"/>
          </w:tcPr>
          <w:p w14:paraId="25E2AFF6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4" w:type="dxa"/>
            <w:vAlign w:val="center"/>
          </w:tcPr>
          <w:p w14:paraId="048530E2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3" w:type="dxa"/>
            <w:vAlign w:val="center"/>
          </w:tcPr>
          <w:p w14:paraId="04B110A4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445E3" w:rsidRPr="00440B18" w14:paraId="5C856701" w14:textId="77777777" w:rsidTr="00F52101">
        <w:tc>
          <w:tcPr>
            <w:tcW w:w="9344" w:type="dxa"/>
            <w:gridSpan w:val="5"/>
          </w:tcPr>
          <w:p w14:paraId="34452ABD" w14:textId="2E703EBE" w:rsidR="00E445E3" w:rsidRPr="00CB0A78" w:rsidRDefault="00E445E3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«Экология»</w:t>
            </w:r>
          </w:p>
        </w:tc>
      </w:tr>
      <w:tr w:rsidR="00FB1BAA" w:rsidRPr="00440B18" w14:paraId="4940C017" w14:textId="77777777" w:rsidTr="00FB1BAA">
        <w:tc>
          <w:tcPr>
            <w:tcW w:w="2756" w:type="dxa"/>
          </w:tcPr>
          <w:p w14:paraId="59AE3219" w14:textId="77777777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Чистая вода</w:t>
            </w:r>
          </w:p>
        </w:tc>
        <w:tc>
          <w:tcPr>
            <w:tcW w:w="1007" w:type="dxa"/>
          </w:tcPr>
          <w:p w14:paraId="0AC4DC40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F5</w:t>
            </w:r>
          </w:p>
        </w:tc>
        <w:tc>
          <w:tcPr>
            <w:tcW w:w="1864" w:type="dxa"/>
          </w:tcPr>
          <w:p w14:paraId="3D423DB2" w14:textId="74DC086C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9338,0</w:t>
            </w:r>
          </w:p>
        </w:tc>
        <w:tc>
          <w:tcPr>
            <w:tcW w:w="1864" w:type="dxa"/>
          </w:tcPr>
          <w:p w14:paraId="3145A337" w14:textId="7362269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</w:tcPr>
          <w:p w14:paraId="57934EBE" w14:textId="07925013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445E3" w:rsidRPr="00440B18" w14:paraId="09DAA96A" w14:textId="77777777" w:rsidTr="00F52101">
        <w:tc>
          <w:tcPr>
            <w:tcW w:w="9344" w:type="dxa"/>
            <w:gridSpan w:val="5"/>
          </w:tcPr>
          <w:p w14:paraId="46F6EC79" w14:textId="4BA7AEAF" w:rsidR="00E445E3" w:rsidRPr="00CB0A78" w:rsidRDefault="00E445E3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</w:t>
            </w:r>
          </w:p>
        </w:tc>
      </w:tr>
      <w:tr w:rsidR="00FB1BAA" w:rsidRPr="00440B18" w14:paraId="1AD5997E" w14:textId="77777777" w:rsidTr="00FB1BAA">
        <w:tc>
          <w:tcPr>
            <w:tcW w:w="2756" w:type="dxa"/>
            <w:vAlign w:val="center"/>
          </w:tcPr>
          <w:p w14:paraId="54160FDD" w14:textId="37357691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1007" w:type="dxa"/>
            <w:vAlign w:val="center"/>
          </w:tcPr>
          <w:p w14:paraId="6D6B857F" w14:textId="415AE7A0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864" w:type="dxa"/>
            <w:vAlign w:val="center"/>
          </w:tcPr>
          <w:p w14:paraId="50ED4EC6" w14:textId="13BF4830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vAlign w:val="center"/>
          </w:tcPr>
          <w:p w14:paraId="3AF3E2AA" w14:textId="53B0F2F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2686,4</w:t>
            </w:r>
          </w:p>
        </w:tc>
        <w:tc>
          <w:tcPr>
            <w:tcW w:w="1853" w:type="dxa"/>
            <w:vAlign w:val="center"/>
          </w:tcPr>
          <w:p w14:paraId="394B5A57" w14:textId="1DA0BF99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B1BAA" w:rsidRPr="00440B18" w14:paraId="1039FA42" w14:textId="77777777" w:rsidTr="00F52101">
        <w:tc>
          <w:tcPr>
            <w:tcW w:w="9344" w:type="dxa"/>
            <w:gridSpan w:val="5"/>
            <w:vAlign w:val="center"/>
          </w:tcPr>
          <w:p w14:paraId="7015D284" w14:textId="2A74CC5C" w:rsidR="00FB1BAA" w:rsidRPr="00CB0A78" w:rsidRDefault="00FB1BA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1A4B7A" w:rsidRPr="00440B18" w14:paraId="2F9200D9" w14:textId="77777777" w:rsidTr="00FB1BAA">
        <w:tc>
          <w:tcPr>
            <w:tcW w:w="2756" w:type="dxa"/>
            <w:vAlign w:val="center"/>
          </w:tcPr>
          <w:p w14:paraId="280F97C8" w14:textId="2E875305" w:rsidR="001A4B7A" w:rsidRPr="00CB0A78" w:rsidRDefault="001A4B7A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среда</w:t>
            </w:r>
          </w:p>
        </w:tc>
        <w:tc>
          <w:tcPr>
            <w:tcW w:w="1007" w:type="dxa"/>
            <w:vAlign w:val="center"/>
          </w:tcPr>
          <w:p w14:paraId="793EA999" w14:textId="4D826AAC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64" w:type="dxa"/>
            <w:vAlign w:val="center"/>
          </w:tcPr>
          <w:p w14:paraId="73FD3988" w14:textId="08DF2666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4" w:type="dxa"/>
            <w:vAlign w:val="center"/>
          </w:tcPr>
          <w:p w14:paraId="5495066C" w14:textId="5697C173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853" w:type="dxa"/>
            <w:vAlign w:val="center"/>
          </w:tcPr>
          <w:p w14:paraId="74244C5A" w14:textId="622F0F34" w:rsidR="001A4B7A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B1BAA" w:rsidRPr="00440B18" w14:paraId="46B8A8AA" w14:textId="77777777" w:rsidTr="00FB1BAA">
        <w:tc>
          <w:tcPr>
            <w:tcW w:w="2756" w:type="dxa"/>
            <w:vAlign w:val="center"/>
          </w:tcPr>
          <w:p w14:paraId="0F6E411B" w14:textId="77777777" w:rsidR="00440B18" w:rsidRPr="00CB0A78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7" w:type="dxa"/>
            <w:vAlign w:val="center"/>
          </w:tcPr>
          <w:p w14:paraId="13C4637B" w14:textId="77777777" w:rsidR="00440B18" w:rsidRPr="00CB0A78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02921C6" w14:textId="481CCBB4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9338,0</w:t>
            </w:r>
          </w:p>
        </w:tc>
        <w:tc>
          <w:tcPr>
            <w:tcW w:w="1864" w:type="dxa"/>
            <w:vAlign w:val="center"/>
          </w:tcPr>
          <w:p w14:paraId="75019CB1" w14:textId="69E18148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2759,9</w:t>
            </w:r>
          </w:p>
        </w:tc>
        <w:tc>
          <w:tcPr>
            <w:tcW w:w="1853" w:type="dxa"/>
            <w:vAlign w:val="center"/>
          </w:tcPr>
          <w:p w14:paraId="59E52491" w14:textId="136F750D" w:rsidR="00440B18" w:rsidRPr="00CB0A78" w:rsidRDefault="001A4B7A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7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4E3CD342" w14:textId="77777777" w:rsidR="00CD5894" w:rsidRDefault="00CD5894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AB11CE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46E3A98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4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bookmarkEnd w:id="4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07D81EC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71554664" w:rsidR="00A47046" w:rsidRPr="00211468" w:rsidRDefault="007D0D1C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C6037C"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программы </w:t>
      </w:r>
    </w:p>
    <w:p w14:paraId="4BE23AD5" w14:textId="7CC3E8A0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0F7DC50" w14:textId="02FA15D2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FCBC838" w14:textId="2B98AB33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7CD0068" w14:textId="1AEC7E59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E957D8F" w14:textId="7DB7E65C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7FEA060" w14:textId="130D42F2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E5B8361" w14:textId="7ECE0A90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7CBE76D" w14:textId="3AC4E3CE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479E324" w14:textId="2E64166D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430BABCD" w14:textId="50BD1D1A" w:rsidR="007763C3" w:rsidRPr="007763C3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26676433" w14:textId="2D016C63" w:rsidR="00450977" w:rsidRDefault="007763C3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P. Национальный проект "Демография"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A7D733" w14:textId="48EC096B" w:rsidR="00191749" w:rsidRPr="00211468" w:rsidRDefault="0095615E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3AB8C54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5D74E66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1.1. создание условий для эффективной деятельности Главы администрации района и аппарата администрации;</w:t>
      </w:r>
    </w:p>
    <w:p w14:paraId="68B793F8" w14:textId="22322D68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95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реализации отдельных государственных полномочий;</w:t>
      </w:r>
    </w:p>
    <w:p w14:paraId="65B484C8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5956D7E1" w14:textId="7A04B8F5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73A4A9CD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0F13203A" w14:textId="6DD801A3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области.</w:t>
      </w:r>
    </w:p>
    <w:p w14:paraId="732F82DB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00BC08C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18A8143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031CBBA8" w14:textId="12C3C43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укрепление общественного порядка и общественной безопасности.</w:t>
      </w:r>
    </w:p>
    <w:p w14:paraId="445BB8EB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0DD1E10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39F0EE78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6AF94942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787C56BE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5518BB4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30D536D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7EA5716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2BFB7493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68B3F940" w14:textId="4BCF0FF9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</w:t>
      </w:r>
      <w:r w:rsidR="0095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B6E01E3" w14:textId="61A4AB15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5.8. Установление и описание местоположения границ территориальных зон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031A55F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7BA1ED4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0E18866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5DE7D2BC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218C698A" w14:textId="0544267D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осуществление муниципальной поддержки молодых семей в улучшении жилищных условий.</w:t>
      </w:r>
    </w:p>
    <w:p w14:paraId="4484884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2B6D590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</w:r>
    </w:p>
    <w:p w14:paraId="1CFD025D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создание условий для организации и проведения спортивных мероприятий, участие в обеспечении подготовки спортивного резерва</w:t>
      </w:r>
    </w:p>
    <w:p w14:paraId="315072B1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</w:t>
      </w:r>
    </w:p>
    <w:p w14:paraId="796F8A35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4715FFFA" w14:textId="6DC5536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209E2E0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</w:t>
      </w:r>
    </w:p>
    <w:p w14:paraId="40518909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1302FA0F" w14:textId="461D19A4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  <w:r w:rsidR="00563F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43FD87A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5060C804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2BE6197F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P. Национальный проект "Демография":</w:t>
      </w:r>
    </w:p>
    <w:p w14:paraId="356CE106" w14:textId="77777777" w:rsidR="00191749" w:rsidRPr="00191749" w:rsidRDefault="00191749" w:rsidP="0019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P5. Региональный проект "Спорт - норма жизни (Брянская область)"</w:t>
      </w:r>
    </w:p>
    <w:p w14:paraId="05199317" w14:textId="5DD03F0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202</w:t>
      </w:r>
      <w:r w:rsidR="00AF2D59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F2D5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F2D59">
        <w:rPr>
          <w:rFonts w:ascii="Times New Roman" w:eastAsia="Calibri" w:hAnsi="Times New Roman" w:cs="Times New Roman"/>
          <w:sz w:val="28"/>
          <w:szCs w:val="28"/>
        </w:rPr>
        <w:t>268113,8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2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lastRenderedPageBreak/>
        <w:t>93771,7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91045,2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28553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5535">
        <w:rPr>
          <w:rFonts w:ascii="Times New Roman" w:eastAsia="Calibri" w:hAnsi="Times New Roman" w:cs="Times New Roman"/>
          <w:sz w:val="28"/>
          <w:szCs w:val="28"/>
        </w:rPr>
        <w:t>83296,8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6979037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763D67">
        <w:rPr>
          <w:rFonts w:ascii="Times New Roman" w:eastAsia="Calibri" w:hAnsi="Times New Roman" w:cs="Times New Roman"/>
          <w:sz w:val="28"/>
          <w:szCs w:val="28"/>
        </w:rPr>
        <w:t>197812,5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66247,3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65385,3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63D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63D67">
        <w:rPr>
          <w:rFonts w:ascii="Times New Roman" w:eastAsia="Calibri" w:hAnsi="Times New Roman" w:cs="Times New Roman"/>
          <w:sz w:val="28"/>
          <w:szCs w:val="28"/>
        </w:rPr>
        <w:t>66179,9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5FF672B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270DA">
        <w:rPr>
          <w:rFonts w:ascii="Times New Roman" w:eastAsia="Calibri" w:hAnsi="Times New Roman" w:cs="Times New Roman"/>
          <w:sz w:val="28"/>
          <w:szCs w:val="28"/>
        </w:rPr>
        <w:t>68090,5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26811,3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24923,6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270D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270DA">
        <w:rPr>
          <w:rFonts w:ascii="Times New Roman" w:eastAsia="Calibri" w:hAnsi="Times New Roman" w:cs="Times New Roman"/>
          <w:sz w:val="28"/>
          <w:szCs w:val="28"/>
        </w:rPr>
        <w:t>16355,6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6D00ADD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 счет федерального бюджета в сумме </w:t>
      </w:r>
      <w:r w:rsidR="00874860">
        <w:rPr>
          <w:rFonts w:ascii="Times New Roman" w:eastAsia="Calibri" w:hAnsi="Times New Roman" w:cs="Times New Roman"/>
          <w:sz w:val="28"/>
          <w:szCs w:val="28"/>
        </w:rPr>
        <w:t>2210,8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87486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4860">
        <w:rPr>
          <w:rFonts w:ascii="Times New Roman" w:eastAsia="Calibri" w:hAnsi="Times New Roman" w:cs="Times New Roman"/>
          <w:sz w:val="28"/>
          <w:szCs w:val="28"/>
        </w:rPr>
        <w:t>761,3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74DE2816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от иной приносящей доход деятельности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2292,3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764,1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69A0A67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E1B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E1B2A">
        <w:rPr>
          <w:rFonts w:ascii="Times New Roman" w:eastAsia="Calibri" w:hAnsi="Times New Roman" w:cs="Times New Roman"/>
          <w:sz w:val="28"/>
          <w:szCs w:val="28"/>
        </w:rPr>
        <w:t>26,2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DE1B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E1B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DE1B2A">
        <w:rPr>
          <w:rFonts w:ascii="Times New Roman" w:eastAsia="Calibri" w:hAnsi="Times New Roman" w:cs="Times New Roman"/>
          <w:sz w:val="28"/>
          <w:szCs w:val="28"/>
        </w:rPr>
        <w:t>30,4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- 2</w:t>
      </w:r>
      <w:r w:rsidR="00DE1B2A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DE1B2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5E35E401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532CD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532CD7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532CD7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32CD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единицу.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88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0C5495B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(202</w:t>
      </w:r>
      <w:r w:rsidR="00061AE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61A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595867DC" w14:textId="77777777" w:rsidR="000B1EAD" w:rsidRPr="000B1EAD" w:rsidRDefault="007D0D1C" w:rsidP="000B1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B1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 муниципальной программы -</w:t>
      </w:r>
      <w:r w:rsidRPr="000B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62EAA7FA" w14:textId="77777777" w:rsidR="000B1EAD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0B1EA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6882AE52" w:rsidR="007D0D1C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ассигнований на реализацию муниципальной программы на 202</w:t>
      </w:r>
      <w:r w:rsidR="000B1EA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E26BAB">
        <w:rPr>
          <w:rFonts w:ascii="Times New Roman" w:eastAsia="Calibri" w:hAnsi="Times New Roman" w:cs="Times New Roman"/>
          <w:sz w:val="28"/>
          <w:szCs w:val="28"/>
        </w:rPr>
        <w:t>603869,0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228324,8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187167,2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26BA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26BAB">
        <w:rPr>
          <w:rFonts w:ascii="Times New Roman" w:eastAsia="Calibri" w:hAnsi="Times New Roman" w:cs="Times New Roman"/>
          <w:sz w:val="28"/>
          <w:szCs w:val="28"/>
        </w:rPr>
        <w:t>188377,1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77D54846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предусмотрены внебюджетные средства в сумме 15504,0 тыс.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3C5BE84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4E50CB">
        <w:rPr>
          <w:rFonts w:ascii="Times New Roman" w:eastAsia="Calibri" w:hAnsi="Times New Roman" w:cs="Times New Roman"/>
          <w:sz w:val="28"/>
          <w:szCs w:val="28"/>
        </w:rPr>
        <w:t>619373,0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541B3B2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средства муниципального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>– 115811,8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53</w:t>
      </w:r>
      <w:r w:rsidR="004E50CB">
        <w:rPr>
          <w:rFonts w:ascii="Times New Roman" w:eastAsia="Calibri" w:hAnsi="Times New Roman" w:cs="Times New Roman"/>
          <w:sz w:val="28"/>
          <w:szCs w:val="28"/>
        </w:rPr>
        <w:t>700,9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30700,9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31410,0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2356E0" w14:textId="1820B8D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>– 445920,9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160666,7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E50C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142555,6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4E50CB">
        <w:rPr>
          <w:rFonts w:ascii="Times New Roman" w:eastAsia="Calibri" w:hAnsi="Times New Roman" w:cs="Times New Roman"/>
          <w:sz w:val="28"/>
          <w:szCs w:val="28"/>
        </w:rPr>
        <w:t>142698,5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59EEA05" w14:textId="64F61496" w:rsidR="004E50CB" w:rsidRDefault="004E50CB" w:rsidP="004E5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>– 42136,3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13957,1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13910,7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>
        <w:rPr>
          <w:rFonts w:ascii="Times New Roman" w:eastAsia="Calibri" w:hAnsi="Times New Roman" w:cs="Times New Roman"/>
          <w:sz w:val="28"/>
          <w:szCs w:val="28"/>
        </w:rPr>
        <w:t>14268,5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4C8C7B6" w14:textId="200E5BD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9D0A20">
        <w:rPr>
          <w:rFonts w:ascii="Times New Roman" w:eastAsia="Calibri" w:hAnsi="Times New Roman" w:cs="Times New Roman"/>
          <w:sz w:val="28"/>
          <w:szCs w:val="28"/>
        </w:rPr>
        <w:t>15504,0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D0A2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0A20">
        <w:rPr>
          <w:rFonts w:ascii="Times New Roman" w:eastAsia="Calibri" w:hAnsi="Times New Roman" w:cs="Times New Roman"/>
          <w:sz w:val="28"/>
          <w:szCs w:val="28"/>
        </w:rPr>
        <w:t>5168,0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5A2602A" w14:textId="6A13517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2C06E8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2C06E8">
        <w:rPr>
          <w:rFonts w:ascii="Times New Roman" w:eastAsia="Calibri" w:hAnsi="Times New Roman" w:cs="Times New Roman"/>
          <w:sz w:val="28"/>
          <w:szCs w:val="28"/>
        </w:rPr>
        <w:t>63,8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2022</w:t>
      </w:r>
      <w:r w:rsidR="002C06E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2C06E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C5463D">
        <w:rPr>
          <w:rFonts w:ascii="Times New Roman" w:eastAsia="Calibri" w:hAnsi="Times New Roman" w:cs="Times New Roman"/>
          <w:sz w:val="28"/>
          <w:szCs w:val="28"/>
        </w:rPr>
        <w:t>62,6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 - 6</w:t>
      </w:r>
      <w:r w:rsidR="00C5463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C5463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21501D4D" w14:textId="5C13D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B5169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B5169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1980D7FC" w14:textId="7FFE8EA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0975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9757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Default="007D0D1C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0D1C">
        <w:rPr>
          <w:rFonts w:ascii="Times New Roman" w:eastAsia="Calibri" w:hAnsi="Times New Roman" w:cs="Times New Roman"/>
          <w:bCs/>
          <w:sz w:val="28"/>
          <w:szCs w:val="28"/>
        </w:rPr>
        <w:t>Цел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52940" w14:textId="1C9CD183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Рациональное использование топливно-энергетических ресурсов и внедрение технологий энергосбережения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C4B27" w14:textId="7CD3F96A" w:rsid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"Культура"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441D4" w14:textId="50838302" w:rsidR="00757F90" w:rsidRDefault="00757F90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5F7F088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</w:p>
    <w:p w14:paraId="0D3CF822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Рациональное использование топливно-энергетических ресурсов и внедрение технологий энергосбережения:</w:t>
      </w:r>
    </w:p>
    <w:p w14:paraId="03EFF6E0" w14:textId="7801521D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DE942B" w14:textId="61F1973C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"Культура"</w:t>
      </w:r>
    </w:p>
    <w:p w14:paraId="6045C49B" w14:textId="20BAD441" w:rsidR="00757F90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A1. Региональный проект "Культурная среда (Брянская область)"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6BBBD4E8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DA1E3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A1E3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5BF3065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DA1E3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A1E3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567C77">
        <w:rPr>
          <w:rFonts w:ascii="Times New Roman" w:eastAsia="Calibri" w:hAnsi="Times New Roman" w:cs="Times New Roman"/>
          <w:sz w:val="28"/>
          <w:szCs w:val="28"/>
        </w:rPr>
        <w:t>54116,9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7C77">
        <w:rPr>
          <w:rFonts w:ascii="Times New Roman" w:eastAsia="Calibri" w:hAnsi="Times New Roman" w:cs="Times New Roman"/>
          <w:sz w:val="28"/>
          <w:szCs w:val="28"/>
        </w:rPr>
        <w:t>27957,9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13372,4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67C7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12786,6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3CB583C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231867">
        <w:rPr>
          <w:rFonts w:ascii="Times New Roman" w:eastAsia="Calibri" w:hAnsi="Times New Roman" w:cs="Times New Roman"/>
          <w:sz w:val="28"/>
          <w:szCs w:val="28"/>
        </w:rPr>
        <w:t>49876,0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26407,1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11421,2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12047,7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2BBDBE4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31867">
        <w:rPr>
          <w:rFonts w:ascii="Times New Roman" w:eastAsia="Calibri" w:hAnsi="Times New Roman" w:cs="Times New Roman"/>
          <w:sz w:val="28"/>
          <w:szCs w:val="28"/>
        </w:rPr>
        <w:t>4241,0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1550,8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1951,3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2318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1867">
        <w:rPr>
          <w:rFonts w:ascii="Times New Roman" w:eastAsia="Calibri" w:hAnsi="Times New Roman" w:cs="Times New Roman"/>
          <w:sz w:val="28"/>
          <w:szCs w:val="28"/>
        </w:rPr>
        <w:t>739,0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5"/>
    <w:p w14:paraId="7632D936" w14:textId="5B8FF6C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от иной приносящей доход деятельности в сумме </w:t>
      </w:r>
      <w:r w:rsidR="00EA55FE">
        <w:rPr>
          <w:rFonts w:ascii="Times New Roman" w:eastAsia="Calibri" w:hAnsi="Times New Roman" w:cs="Times New Roman"/>
          <w:sz w:val="28"/>
          <w:szCs w:val="28"/>
        </w:rPr>
        <w:t>816,0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A55F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27</w:t>
      </w:r>
      <w:r w:rsidR="00EA55F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7C3EA5A" w14:textId="108C7CA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1</w:t>
      </w:r>
      <w:r w:rsidR="00CD5933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CD5933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CD5933">
        <w:rPr>
          <w:rFonts w:ascii="Times New Roman" w:eastAsia="Calibri" w:hAnsi="Times New Roman" w:cs="Times New Roman"/>
          <w:sz w:val="28"/>
          <w:szCs w:val="28"/>
        </w:rPr>
        <w:t>увеличились на 1 единицу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22A61" w14:textId="33CCBD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Default="007D0D1C" w:rsidP="006177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_Hlk89861330"/>
      <w:r w:rsidRPr="007D0D1C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</w:t>
      </w:r>
      <w:r w:rsidR="006177EA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6"/>
    <w:p w14:paraId="37C5F328" w14:textId="1B38F56A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    устойчивости бюджетной системы Дубровского района;</w:t>
      </w:r>
    </w:p>
    <w:p w14:paraId="400E24C4" w14:textId="445ACE9C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  эффективности расходов районного бюджета;</w:t>
      </w:r>
    </w:p>
    <w:p w14:paraId="408DB670" w14:textId="244A3327" w:rsidR="00805866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                  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Default="00805866" w:rsidP="0080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41DC5D" w14:textId="5133B9CA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58CFD9E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6D59E52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и недопущение образования муниципального внутреннего долга Дубровского района;</w:t>
      </w:r>
    </w:p>
    <w:p w14:paraId="74C218F0" w14:textId="7FC0707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393BFB29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5EEC6A6D" w:rsidR="00805866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1EC06F01" w14:textId="77777777" w:rsidR="009F472A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3AAE015F" w14:textId="7C6E3792" w:rsidR="007D0D1C" w:rsidRPr="007D0D1C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9F472A">
        <w:rPr>
          <w:rFonts w:ascii="Times New Roman" w:eastAsia="Calibri" w:hAnsi="Times New Roman" w:cs="Times New Roman"/>
          <w:sz w:val="28"/>
          <w:szCs w:val="28"/>
        </w:rPr>
        <w:t>22422,0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7836,0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7490,0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F472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472A">
        <w:rPr>
          <w:rFonts w:ascii="Times New Roman" w:eastAsia="Calibri" w:hAnsi="Times New Roman" w:cs="Times New Roman"/>
          <w:sz w:val="28"/>
          <w:szCs w:val="28"/>
        </w:rPr>
        <w:t>7546,0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719FB68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E15EEC">
        <w:rPr>
          <w:rFonts w:ascii="Times New Roman" w:eastAsia="Calibri" w:hAnsi="Times New Roman" w:cs="Times New Roman"/>
          <w:sz w:val="28"/>
          <w:szCs w:val="28"/>
        </w:rPr>
        <w:t>2044,5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7027,0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6681,0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6</w:t>
      </w:r>
      <w:r w:rsidR="00E15EEC">
        <w:rPr>
          <w:rFonts w:ascii="Times New Roman" w:eastAsia="Calibri" w:hAnsi="Times New Roman" w:cs="Times New Roman"/>
          <w:sz w:val="28"/>
          <w:szCs w:val="28"/>
        </w:rPr>
        <w:t>737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73B9E7B" w14:textId="4851C99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средств областного бюджета в сумме 2</w:t>
      </w:r>
      <w:r w:rsidR="00E15EEC">
        <w:rPr>
          <w:rFonts w:ascii="Times New Roman" w:eastAsia="Calibri" w:hAnsi="Times New Roman" w:cs="Times New Roman"/>
          <w:sz w:val="28"/>
          <w:szCs w:val="28"/>
        </w:rPr>
        <w:t>427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в том числе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E15EE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809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653B9F03" w14:textId="1655FB0B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EF257F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5610A88A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581EA5ED" w14:textId="159D915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6D4812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6D481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>к проекту решения определены источники внутреннего финансирования дефицита бюджета на 202</w:t>
      </w:r>
      <w:r w:rsidR="00C72B4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72B4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72B4E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AD04F3D" w14:textId="58DCD93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 на 202</w:t>
      </w:r>
      <w:r w:rsidR="00C72B4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04B3E2CE" w14:textId="77777777" w:rsidR="00254945" w:rsidRDefault="00254945" w:rsidP="00254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26.11.021 №183-7) </w:t>
      </w:r>
      <w:r w:rsidRPr="007B0D7D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7B0D7D">
        <w:rPr>
          <w:rFonts w:ascii="Times New Roman" w:hAnsi="Times New Roman" w:cs="Times New Roman"/>
          <w:sz w:val="28"/>
          <w:szCs w:val="28"/>
        </w:rPr>
        <w:lastRenderedPageBreak/>
        <w:t>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A7C357" w14:textId="25156570" w:rsidR="009B3A20" w:rsidRDefault="009B3A20" w:rsidP="009B3A2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FDACE2" w14:textId="77777777" w:rsidR="009B3A20" w:rsidRPr="005F4A26" w:rsidRDefault="009B3A20" w:rsidP="009B3A2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DDE307F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358 983,1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102 314,0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1FF73C2D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18"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358 983,1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;</w:t>
      </w:r>
    </w:p>
    <w:p w14:paraId="6ACC3B20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051DFB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375BFAA1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303 172,5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104 391,0</w:t>
      </w:r>
      <w:r w:rsidRPr="00CC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CC2C1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299 328,9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110 971,0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AAC129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303 172,5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299 328,9 тыс.</w:t>
      </w:r>
      <w:r w:rsidRPr="00CC2C1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C13775" w14:textId="77777777" w:rsidR="009B3A20" w:rsidRDefault="009B3A20" w:rsidP="009B3A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 в сумме 0,00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2C18">
        <w:rPr>
          <w:rFonts w:ascii="Times New Roman" w:hAnsi="Times New Roman" w:cs="Times New Roman"/>
          <w:sz w:val="28"/>
          <w:szCs w:val="28"/>
        </w:rPr>
        <w:t>.</w:t>
      </w:r>
    </w:p>
    <w:p w14:paraId="6CA210C4" w14:textId="77777777" w:rsidR="00F86E27" w:rsidRDefault="00F86E27" w:rsidP="00F8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2024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2021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 </w:t>
      </w:r>
    </w:p>
    <w:p w14:paraId="4942AFA2" w14:textId="2E95A857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B7A6A6C" w14:textId="14A2B21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5831F6B2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D14903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2061E645" w14:textId="2FB25FDB" w:rsidR="007D0D1C" w:rsidRPr="00211468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D14903">
        <w:rPr>
          <w:rFonts w:ascii="Times New Roman" w:eastAsia="Calibri" w:hAnsi="Times New Roman" w:cs="Times New Roman"/>
          <w:sz w:val="28"/>
          <w:szCs w:val="28"/>
        </w:rPr>
        <w:t>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14903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14903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211468" w:rsidRPr="00211468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44F1AE60" w14:textId="77777777" w:rsidR="00211468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Главным администраторам бюджетных средств: </w:t>
      </w:r>
    </w:p>
    <w:p w14:paraId="5ED9F2D4" w14:textId="6914258E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77777777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2A83E73" w:rsidR="00382A79" w:rsidRP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</w:p>
    <w:p w14:paraId="2F643E60" w14:textId="745BEFB0" w:rsidR="00CC3F76" w:rsidRPr="00D24265" w:rsidRDefault="00382A79" w:rsidP="00CC3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3F76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</w:t>
      </w:r>
      <w:r w:rsidR="00CC3F76" w:rsidRPr="00D24265">
        <w:rPr>
          <w:rFonts w:ascii="Times New Roman" w:eastAsia="Calibri" w:hAnsi="Times New Roman" w:cs="Times New Roman"/>
          <w:sz w:val="28"/>
          <w:szCs w:val="28"/>
        </w:rPr>
        <w:t>привести в соответствие с п. 3 ст. 184.1 БК РФ.</w:t>
      </w:r>
    </w:p>
    <w:p w14:paraId="093D400D" w14:textId="23670354" w:rsidR="005F3232" w:rsidRPr="00C7002D" w:rsidRDefault="005F3232" w:rsidP="005F3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BB1F1" w14:textId="6D9E674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EFE6" w14:textId="4CBC33FA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2ED89" w14:textId="35FF9A4E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F6DCA" w14:textId="77777777" w:rsidR="00E14116" w:rsidRPr="007D0D1C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65254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129F1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0D1C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Н.А. </w:t>
      </w:r>
      <w:proofErr w:type="spellStart"/>
      <w:r w:rsidRPr="007D0D1C">
        <w:rPr>
          <w:rFonts w:ascii="Times New Roman" w:eastAsia="Calibri" w:hAnsi="Times New Roman" w:cs="Times New Roman"/>
          <w:sz w:val="28"/>
          <w:szCs w:val="28"/>
        </w:rPr>
        <w:t>Дороденкова</w:t>
      </w:r>
      <w:proofErr w:type="spellEnd"/>
    </w:p>
    <w:p w14:paraId="3E0C004A" w14:textId="6D73FA63" w:rsidR="00E21166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FB77" w14:textId="77777777" w:rsidR="009D723F" w:rsidRDefault="009D723F" w:rsidP="00860B09">
      <w:pPr>
        <w:spacing w:after="0" w:line="240" w:lineRule="auto"/>
      </w:pPr>
      <w:r>
        <w:separator/>
      </w:r>
    </w:p>
  </w:endnote>
  <w:endnote w:type="continuationSeparator" w:id="0">
    <w:p w14:paraId="227772C0" w14:textId="77777777" w:rsidR="009D723F" w:rsidRDefault="009D723F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A3FF7" w14:textId="77777777" w:rsidR="009D723F" w:rsidRDefault="009D723F" w:rsidP="00860B09">
      <w:pPr>
        <w:spacing w:after="0" w:line="240" w:lineRule="auto"/>
      </w:pPr>
      <w:r>
        <w:separator/>
      </w:r>
    </w:p>
  </w:footnote>
  <w:footnote w:type="continuationSeparator" w:id="0">
    <w:p w14:paraId="5C37A779" w14:textId="77777777" w:rsidR="009D723F" w:rsidRDefault="009D723F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1CA6BBF6" w:rsidR="002C06E8" w:rsidRDefault="002C0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10413" w14:textId="77777777" w:rsidR="002C06E8" w:rsidRDefault="002C06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5"/>
    <w:rsid w:val="00003AF1"/>
    <w:rsid w:val="00010521"/>
    <w:rsid w:val="0001163A"/>
    <w:rsid w:val="00013236"/>
    <w:rsid w:val="00014A5A"/>
    <w:rsid w:val="000212FC"/>
    <w:rsid w:val="000220F4"/>
    <w:rsid w:val="00022DC0"/>
    <w:rsid w:val="00025C12"/>
    <w:rsid w:val="000310A8"/>
    <w:rsid w:val="00032925"/>
    <w:rsid w:val="00032A70"/>
    <w:rsid w:val="00041B90"/>
    <w:rsid w:val="00041E72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757A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E0A0A"/>
    <w:rsid w:val="000E1FCE"/>
    <w:rsid w:val="000E3B9C"/>
    <w:rsid w:val="000E4C84"/>
    <w:rsid w:val="000E7D97"/>
    <w:rsid w:val="000F1EDB"/>
    <w:rsid w:val="000F56E9"/>
    <w:rsid w:val="00100725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7BA6"/>
    <w:rsid w:val="00150CFD"/>
    <w:rsid w:val="00157578"/>
    <w:rsid w:val="001608D8"/>
    <w:rsid w:val="001659EB"/>
    <w:rsid w:val="00173150"/>
    <w:rsid w:val="00173926"/>
    <w:rsid w:val="00173DC0"/>
    <w:rsid w:val="00176F7A"/>
    <w:rsid w:val="00180861"/>
    <w:rsid w:val="00180B9C"/>
    <w:rsid w:val="00185399"/>
    <w:rsid w:val="00186E24"/>
    <w:rsid w:val="00190A47"/>
    <w:rsid w:val="0019169C"/>
    <w:rsid w:val="00191749"/>
    <w:rsid w:val="00192815"/>
    <w:rsid w:val="001A25D3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38F4"/>
    <w:rsid w:val="001D71F2"/>
    <w:rsid w:val="001E2A5E"/>
    <w:rsid w:val="001E49D7"/>
    <w:rsid w:val="001F08FA"/>
    <w:rsid w:val="00201376"/>
    <w:rsid w:val="00201A68"/>
    <w:rsid w:val="00202774"/>
    <w:rsid w:val="002051F6"/>
    <w:rsid w:val="00211468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5004B"/>
    <w:rsid w:val="00250B51"/>
    <w:rsid w:val="00251287"/>
    <w:rsid w:val="0025494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52D0"/>
    <w:rsid w:val="00285535"/>
    <w:rsid w:val="00291DEA"/>
    <w:rsid w:val="00293570"/>
    <w:rsid w:val="002A2125"/>
    <w:rsid w:val="002A2F6C"/>
    <w:rsid w:val="002A778E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E3D03"/>
    <w:rsid w:val="002E79BE"/>
    <w:rsid w:val="003022F9"/>
    <w:rsid w:val="00314310"/>
    <w:rsid w:val="00314EE2"/>
    <w:rsid w:val="00314F36"/>
    <w:rsid w:val="003215CD"/>
    <w:rsid w:val="003243F8"/>
    <w:rsid w:val="0032727F"/>
    <w:rsid w:val="00332B31"/>
    <w:rsid w:val="0033434A"/>
    <w:rsid w:val="00335378"/>
    <w:rsid w:val="00341B27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A79"/>
    <w:rsid w:val="00383170"/>
    <w:rsid w:val="00384ECE"/>
    <w:rsid w:val="00387238"/>
    <w:rsid w:val="0039243D"/>
    <w:rsid w:val="00393280"/>
    <w:rsid w:val="003A0709"/>
    <w:rsid w:val="003A0CB2"/>
    <w:rsid w:val="003A341F"/>
    <w:rsid w:val="003A3780"/>
    <w:rsid w:val="003A3AAF"/>
    <w:rsid w:val="003A50F1"/>
    <w:rsid w:val="003B16DA"/>
    <w:rsid w:val="003B4CE3"/>
    <w:rsid w:val="003B5B11"/>
    <w:rsid w:val="003D14AB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7CB7"/>
    <w:rsid w:val="00470004"/>
    <w:rsid w:val="00476708"/>
    <w:rsid w:val="00477561"/>
    <w:rsid w:val="00477AFA"/>
    <w:rsid w:val="00482282"/>
    <w:rsid w:val="00491391"/>
    <w:rsid w:val="00492523"/>
    <w:rsid w:val="00493BF8"/>
    <w:rsid w:val="004B1BC8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417A"/>
    <w:rsid w:val="00563FA0"/>
    <w:rsid w:val="00564719"/>
    <w:rsid w:val="00567C77"/>
    <w:rsid w:val="00592276"/>
    <w:rsid w:val="005A0AF0"/>
    <w:rsid w:val="005B6839"/>
    <w:rsid w:val="005C57F5"/>
    <w:rsid w:val="005C606E"/>
    <w:rsid w:val="005C6780"/>
    <w:rsid w:val="005D15F0"/>
    <w:rsid w:val="005D2384"/>
    <w:rsid w:val="005D77D4"/>
    <w:rsid w:val="005E156D"/>
    <w:rsid w:val="005E2548"/>
    <w:rsid w:val="005E4C03"/>
    <w:rsid w:val="005F26AE"/>
    <w:rsid w:val="005F3232"/>
    <w:rsid w:val="005F4A26"/>
    <w:rsid w:val="00607ED9"/>
    <w:rsid w:val="00614599"/>
    <w:rsid w:val="00616247"/>
    <w:rsid w:val="006177EA"/>
    <w:rsid w:val="006217F0"/>
    <w:rsid w:val="00630A83"/>
    <w:rsid w:val="006425BC"/>
    <w:rsid w:val="0064381E"/>
    <w:rsid w:val="00647EEC"/>
    <w:rsid w:val="006609EC"/>
    <w:rsid w:val="00665C5D"/>
    <w:rsid w:val="00667AA9"/>
    <w:rsid w:val="00673270"/>
    <w:rsid w:val="00673541"/>
    <w:rsid w:val="00684E4E"/>
    <w:rsid w:val="0068709E"/>
    <w:rsid w:val="00690879"/>
    <w:rsid w:val="00694677"/>
    <w:rsid w:val="0069489A"/>
    <w:rsid w:val="006A122E"/>
    <w:rsid w:val="006A20BA"/>
    <w:rsid w:val="006A4075"/>
    <w:rsid w:val="006B3544"/>
    <w:rsid w:val="006B42E7"/>
    <w:rsid w:val="006C1BCB"/>
    <w:rsid w:val="006C1E6D"/>
    <w:rsid w:val="006D0159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137F3"/>
    <w:rsid w:val="00720CA6"/>
    <w:rsid w:val="00727887"/>
    <w:rsid w:val="0073678B"/>
    <w:rsid w:val="007412EA"/>
    <w:rsid w:val="0074393E"/>
    <w:rsid w:val="0074598C"/>
    <w:rsid w:val="0074619F"/>
    <w:rsid w:val="007503CE"/>
    <w:rsid w:val="00750934"/>
    <w:rsid w:val="00757F90"/>
    <w:rsid w:val="00760813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A05A8"/>
    <w:rsid w:val="007A38FE"/>
    <w:rsid w:val="007A49B2"/>
    <w:rsid w:val="007A54A3"/>
    <w:rsid w:val="007A59F6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4312"/>
    <w:rsid w:val="00805866"/>
    <w:rsid w:val="00807A9A"/>
    <w:rsid w:val="00817FE8"/>
    <w:rsid w:val="00821376"/>
    <w:rsid w:val="008216F3"/>
    <w:rsid w:val="008230C7"/>
    <w:rsid w:val="00830D4D"/>
    <w:rsid w:val="00835D9E"/>
    <w:rsid w:val="00845A91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C0E73"/>
    <w:rsid w:val="008D35E7"/>
    <w:rsid w:val="008D6652"/>
    <w:rsid w:val="008E13B5"/>
    <w:rsid w:val="008E3045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42C5"/>
    <w:rsid w:val="0098036F"/>
    <w:rsid w:val="00984F59"/>
    <w:rsid w:val="00987645"/>
    <w:rsid w:val="00991841"/>
    <w:rsid w:val="00992BFF"/>
    <w:rsid w:val="0099676F"/>
    <w:rsid w:val="00996825"/>
    <w:rsid w:val="00996848"/>
    <w:rsid w:val="0099707F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E264E"/>
    <w:rsid w:val="009F2D59"/>
    <w:rsid w:val="009F421B"/>
    <w:rsid w:val="009F472A"/>
    <w:rsid w:val="009F483A"/>
    <w:rsid w:val="00A00F3A"/>
    <w:rsid w:val="00A01511"/>
    <w:rsid w:val="00A0353A"/>
    <w:rsid w:val="00A04718"/>
    <w:rsid w:val="00A11FA1"/>
    <w:rsid w:val="00A16E2A"/>
    <w:rsid w:val="00A20D9E"/>
    <w:rsid w:val="00A24015"/>
    <w:rsid w:val="00A304D0"/>
    <w:rsid w:val="00A34B3B"/>
    <w:rsid w:val="00A35048"/>
    <w:rsid w:val="00A40352"/>
    <w:rsid w:val="00A4084C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66A5"/>
    <w:rsid w:val="00AA6734"/>
    <w:rsid w:val="00AB6384"/>
    <w:rsid w:val="00AC24ED"/>
    <w:rsid w:val="00AC2E10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FD5"/>
    <w:rsid w:val="00B505C1"/>
    <w:rsid w:val="00B5169B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42A"/>
    <w:rsid w:val="00BB2E00"/>
    <w:rsid w:val="00BB4B4E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272E8"/>
    <w:rsid w:val="00C30025"/>
    <w:rsid w:val="00C33596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6EF3"/>
    <w:rsid w:val="00CC2C18"/>
    <w:rsid w:val="00CC3F76"/>
    <w:rsid w:val="00CC4FB9"/>
    <w:rsid w:val="00CC6157"/>
    <w:rsid w:val="00CC6CF5"/>
    <w:rsid w:val="00CC6E9B"/>
    <w:rsid w:val="00CD5894"/>
    <w:rsid w:val="00CD5933"/>
    <w:rsid w:val="00CE13C7"/>
    <w:rsid w:val="00CE3773"/>
    <w:rsid w:val="00D00008"/>
    <w:rsid w:val="00D02A75"/>
    <w:rsid w:val="00D034AA"/>
    <w:rsid w:val="00D07A42"/>
    <w:rsid w:val="00D14903"/>
    <w:rsid w:val="00D164FA"/>
    <w:rsid w:val="00D27964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532F"/>
    <w:rsid w:val="00D81F26"/>
    <w:rsid w:val="00D862F1"/>
    <w:rsid w:val="00D87AB6"/>
    <w:rsid w:val="00D90E4D"/>
    <w:rsid w:val="00D92B12"/>
    <w:rsid w:val="00D93C2A"/>
    <w:rsid w:val="00DA1E31"/>
    <w:rsid w:val="00DA2E4A"/>
    <w:rsid w:val="00DA363A"/>
    <w:rsid w:val="00DA3E10"/>
    <w:rsid w:val="00DB15F3"/>
    <w:rsid w:val="00DD5650"/>
    <w:rsid w:val="00DE117D"/>
    <w:rsid w:val="00DE18DA"/>
    <w:rsid w:val="00DE1B2A"/>
    <w:rsid w:val="00DE1B40"/>
    <w:rsid w:val="00DE3A50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33067"/>
    <w:rsid w:val="00E445E3"/>
    <w:rsid w:val="00E56115"/>
    <w:rsid w:val="00E61BA3"/>
    <w:rsid w:val="00E6204A"/>
    <w:rsid w:val="00E638C1"/>
    <w:rsid w:val="00E643F8"/>
    <w:rsid w:val="00E71463"/>
    <w:rsid w:val="00E80713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E0DA3"/>
    <w:rsid w:val="00EE1252"/>
    <w:rsid w:val="00EE2D1B"/>
    <w:rsid w:val="00EF257F"/>
    <w:rsid w:val="00EF3A58"/>
    <w:rsid w:val="00F01AC6"/>
    <w:rsid w:val="00F0229A"/>
    <w:rsid w:val="00F025CC"/>
    <w:rsid w:val="00F04392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86E27"/>
    <w:rsid w:val="00F9015A"/>
    <w:rsid w:val="00F92291"/>
    <w:rsid w:val="00F932E4"/>
    <w:rsid w:val="00F971AB"/>
    <w:rsid w:val="00FA2158"/>
    <w:rsid w:val="00FA4B5E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2C64"/>
    <w:rsid w:val="00FE52FF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AB4-121B-41C6-A1AE-A034302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34</Pages>
  <Words>11682</Words>
  <Characters>66588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898</cp:revision>
  <cp:lastPrinted>2021-12-06T11:22:00Z</cp:lastPrinted>
  <dcterms:created xsi:type="dcterms:W3CDTF">2021-11-11T10:53:00Z</dcterms:created>
  <dcterms:modified xsi:type="dcterms:W3CDTF">2021-12-09T07:37:00Z</dcterms:modified>
</cp:coreProperties>
</file>