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65pt" o:ole="" fillcolor="window">
            <v:imagedata r:id="rId8" o:title="" gain="192753f" blacklevel="-3932f"/>
          </v:shape>
          <o:OLEObject Type="Embed" ProgID="Photoshop.Image.6" ShapeID="_x0000_i1025" DrawAspect="Content" ObjectID="_1745672441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5AE7E2C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6D4B72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3г.</w:t>
      </w:r>
    </w:p>
    <w:p w14:paraId="0275B390" w14:textId="2E59B7A6" w:rsidR="00E010D6" w:rsidRPr="00E010D6" w:rsidRDefault="00E010D6" w:rsidP="00E010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10D6">
        <w:rPr>
          <w:rFonts w:ascii="Times New Roman" w:hAnsi="Times New Roman" w:cs="Times New Roman"/>
          <w:bCs/>
          <w:sz w:val="28"/>
          <w:szCs w:val="28"/>
        </w:rPr>
        <w:lastRenderedPageBreak/>
        <w:t>17.05.2023г.</w:t>
      </w: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DCB005D" w14:textId="64FC740C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E010D6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E010D6">
        <w:rPr>
          <w:rFonts w:ascii="Times New Roman" w:hAnsi="Times New Roman" w:cs="Times New Roman"/>
          <w:sz w:val="28"/>
          <w:szCs w:val="28"/>
        </w:rPr>
        <w:t>1.2.3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499D56DF" w:rsidR="00CC6834" w:rsidRDefault="00CC6834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3F2A5E" w14:textId="09763875" w:rsidR="00E010D6" w:rsidRDefault="00E010D6" w:rsidP="00E010D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39</w:t>
      </w:r>
      <w:r w:rsidRPr="00560DC9">
        <w:rPr>
          <w:rFonts w:ascii="Times New Roman" w:hAnsi="Times New Roman"/>
          <w:sz w:val="28"/>
          <w:szCs w:val="28"/>
        </w:rPr>
        <w:t xml:space="preserve"> «О бюджете  Дубровского городского поселения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годов»,  по доходам в объеме 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>
        <w:rPr>
          <w:rFonts w:ascii="Times New Roman" w:hAnsi="Times New Roman"/>
          <w:bCs/>
          <w:color w:val="000000"/>
          <w:sz w:val="28"/>
          <w:szCs w:val="28"/>
        </w:rPr>
        <w:t>,2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Pr="00A572CA">
        <w:rPr>
          <w:rFonts w:ascii="Times New Roman" w:hAnsi="Times New Roman"/>
          <w:sz w:val="28"/>
          <w:szCs w:val="28"/>
        </w:rPr>
        <w:t>рублей,  в том числе налоговые и неналоговые доходы в сумме</w:t>
      </w:r>
      <w:r w:rsidRPr="000A4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>
        <w:rPr>
          <w:rFonts w:ascii="Times New Roman" w:hAnsi="Times New Roman"/>
          <w:bCs/>
          <w:color w:val="000000"/>
          <w:sz w:val="28"/>
          <w:szCs w:val="28"/>
        </w:rPr>
        <w:t>,2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тыс. рублей,  сбалансированным.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 решение </w:t>
      </w:r>
      <w:r>
        <w:rPr>
          <w:rFonts w:ascii="Times New Roman" w:hAnsi="Times New Roman"/>
          <w:sz w:val="28"/>
          <w:szCs w:val="28"/>
        </w:rPr>
        <w:t>изменения не вносились.</w:t>
      </w:r>
    </w:p>
    <w:p w14:paraId="17608945" w14:textId="77777777" w:rsidR="00E010D6" w:rsidRPr="009C0F1A" w:rsidRDefault="00E010D6" w:rsidP="00E010D6">
      <w:pPr>
        <w:spacing w:after="0" w:line="240" w:lineRule="auto"/>
        <w:ind w:firstLine="644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20FB7D6" w14:textId="77777777" w:rsidR="00CC6834" w:rsidRPr="00ED1660" w:rsidRDefault="00CC6834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486507A8" w14:textId="77777777" w:rsidR="00E010D6" w:rsidRPr="00E010D6" w:rsidRDefault="00E010D6" w:rsidP="00E010D6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Доходная часть бюджета за 1 квартал 2023</w:t>
      </w: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года исполнена в сумме 8 904,5</w:t>
      </w:r>
      <w:r w:rsidRPr="00E010D6">
        <w:rPr>
          <w:rFonts w:ascii="Times New Roman" w:eastAsiaTheme="minorEastAsia" w:hAnsi="Times New Roman"/>
          <w:b/>
          <w:bCs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 11,3% к утвержденным годовым назначениям. По сравнению  с соответствующим периодом 2023 года, доходы  увеличились  на 3 870,1 тыс. рублей. В структуре доходов бюджета удельный вес собственных доходов составил 40,0%, что ниже соответствующего периода 2022 года (100,0%) на 60,0 процентных пункта. Объем безвозмездных поступлений  увеличился и составил 5 348,6 тыс. рублей. На долю безвозмездных поступлений в общем объёме доходов приходится  60,0 процентов. </w:t>
      </w:r>
    </w:p>
    <w:p w14:paraId="66E39996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E010D6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2023  года приведены в таблице</w:t>
      </w:r>
    </w:p>
    <w:p w14:paraId="4487FC5D" w14:textId="77777777" w:rsidR="00E010D6" w:rsidRPr="00E010D6" w:rsidRDefault="00E010D6" w:rsidP="00E010D6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E010D6">
        <w:rPr>
          <w:rFonts w:ascii="Times New Roman" w:eastAsiaTheme="minorEastAsia" w:hAnsi="Times New Roman"/>
          <w:lang w:eastAsia="ru-RU"/>
        </w:rPr>
        <w:t>(тыс. руб.)</w:t>
      </w:r>
      <w:r w:rsidRPr="00E01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E010D6" w:rsidRPr="00E010D6" w14:paraId="3D8F241B" w14:textId="77777777" w:rsidTr="00A76284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952B4" w14:textId="77777777" w:rsidR="00E010D6" w:rsidRPr="00E010D6" w:rsidRDefault="00E010D6" w:rsidP="00E010D6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1691D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DE5C5C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2E0AFD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276" w:type="dxa"/>
            <w:vAlign w:val="center"/>
          </w:tcPr>
          <w:p w14:paraId="20C5C70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5E7068A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B88B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4D698BB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за 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6" w:type="dxa"/>
            <w:vAlign w:val="center"/>
          </w:tcPr>
          <w:p w14:paraId="6522734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5AE402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07A6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6C39D1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696EBB5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5815209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E010D6" w:rsidRPr="00E010D6" w14:paraId="477B4A13" w14:textId="77777777" w:rsidTr="00A76284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8F9F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49A67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1183C5C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70CA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4BBD46B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E075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E010D6" w:rsidRPr="00E010D6" w14:paraId="3C27CB24" w14:textId="77777777" w:rsidTr="00A76284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595B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1FDD6D0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BFCA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3D07A5F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78 931,3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61F9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8 904,5</w:t>
            </w:r>
          </w:p>
        </w:tc>
        <w:tc>
          <w:tcPr>
            <w:tcW w:w="1276" w:type="dxa"/>
            <w:vAlign w:val="center"/>
          </w:tcPr>
          <w:p w14:paraId="73A796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11,3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CB0C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176,9</w:t>
            </w:r>
          </w:p>
        </w:tc>
      </w:tr>
      <w:tr w:rsidR="00E010D6" w:rsidRPr="00E010D6" w14:paraId="6CFDDF60" w14:textId="77777777" w:rsidTr="00A76284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90B1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BDB4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7CB8362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25 976,0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01ECE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3 555,9</w:t>
            </w:r>
          </w:p>
        </w:tc>
        <w:tc>
          <w:tcPr>
            <w:tcW w:w="1276" w:type="dxa"/>
            <w:vAlign w:val="center"/>
          </w:tcPr>
          <w:p w14:paraId="5EE939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13,7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4F9B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70,6</w:t>
            </w:r>
          </w:p>
        </w:tc>
      </w:tr>
      <w:tr w:rsidR="00E010D6" w:rsidRPr="00E010D6" w14:paraId="7A5B0687" w14:textId="77777777" w:rsidTr="00A76284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F692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1B9A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14:paraId="13DB6C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25 011,0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EB24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3 354,9</w:t>
            </w:r>
          </w:p>
        </w:tc>
        <w:tc>
          <w:tcPr>
            <w:tcW w:w="1276" w:type="dxa"/>
            <w:vAlign w:val="center"/>
          </w:tcPr>
          <w:p w14:paraId="0B9B2F2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13,4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CDC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68,0</w:t>
            </w:r>
          </w:p>
        </w:tc>
      </w:tr>
      <w:tr w:rsidR="00E010D6" w:rsidRPr="00E010D6" w14:paraId="4A7045B4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66AE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FA4C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738,2</w:t>
            </w:r>
          </w:p>
        </w:tc>
        <w:tc>
          <w:tcPr>
            <w:tcW w:w="1276" w:type="dxa"/>
            <w:vAlign w:val="center"/>
          </w:tcPr>
          <w:p w14:paraId="0731ABC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4 003,0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8D02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1 076,5</w:t>
            </w:r>
          </w:p>
        </w:tc>
        <w:tc>
          <w:tcPr>
            <w:tcW w:w="1276" w:type="dxa"/>
            <w:vAlign w:val="center"/>
          </w:tcPr>
          <w:p w14:paraId="5C77667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26,9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23FA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145,8</w:t>
            </w:r>
          </w:p>
        </w:tc>
      </w:tr>
      <w:tr w:rsidR="00E010D6" w:rsidRPr="00E010D6" w14:paraId="46C9C8CF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EDD0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0E2898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7DC298B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8B54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1957,0</w:t>
            </w:r>
          </w:p>
        </w:tc>
        <w:tc>
          <w:tcPr>
            <w:tcW w:w="1276" w:type="dxa"/>
            <w:vAlign w:val="center"/>
          </w:tcPr>
          <w:p w14:paraId="24FF9C7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9928,0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17C9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1 463,3</w:t>
            </w:r>
          </w:p>
        </w:tc>
        <w:tc>
          <w:tcPr>
            <w:tcW w:w="1276" w:type="dxa"/>
            <w:vAlign w:val="center"/>
          </w:tcPr>
          <w:p w14:paraId="08B6332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14,7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D642B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74,8</w:t>
            </w:r>
          </w:p>
        </w:tc>
      </w:tr>
      <w:tr w:rsidR="00E010D6" w:rsidRPr="00E010D6" w14:paraId="32B65DC9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989B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5D7A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14:paraId="097ED9C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75F61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-1,2</w:t>
            </w:r>
          </w:p>
        </w:tc>
        <w:tc>
          <w:tcPr>
            <w:tcW w:w="1276" w:type="dxa"/>
            <w:vAlign w:val="center"/>
          </w:tcPr>
          <w:p w14:paraId="626EDD2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26B9E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38F8AC43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8A87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3727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313,6</w:t>
            </w:r>
          </w:p>
        </w:tc>
        <w:tc>
          <w:tcPr>
            <w:tcW w:w="1276" w:type="dxa"/>
            <w:vAlign w:val="center"/>
          </w:tcPr>
          <w:p w14:paraId="7269F5A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3 600,0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2B02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36,4</w:t>
            </w:r>
          </w:p>
        </w:tc>
        <w:tc>
          <w:tcPr>
            <w:tcW w:w="1276" w:type="dxa"/>
            <w:vAlign w:val="center"/>
          </w:tcPr>
          <w:p w14:paraId="102CE54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5444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11,6</w:t>
            </w:r>
          </w:p>
        </w:tc>
      </w:tr>
      <w:tr w:rsidR="00E010D6" w:rsidRPr="00E010D6" w14:paraId="7E07DB2B" w14:textId="77777777" w:rsidTr="00A76284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54BB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7B66D9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A1AD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1 922,2</w:t>
            </w:r>
          </w:p>
        </w:tc>
        <w:tc>
          <w:tcPr>
            <w:tcW w:w="1276" w:type="dxa"/>
            <w:vAlign w:val="center"/>
          </w:tcPr>
          <w:p w14:paraId="05A4852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7 232,0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4AA8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779,9</w:t>
            </w:r>
          </w:p>
        </w:tc>
        <w:tc>
          <w:tcPr>
            <w:tcW w:w="1276" w:type="dxa"/>
            <w:vAlign w:val="center"/>
          </w:tcPr>
          <w:p w14:paraId="495E6E2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3E29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40,6</w:t>
            </w:r>
          </w:p>
        </w:tc>
      </w:tr>
      <w:tr w:rsidR="00E010D6" w:rsidRPr="00E010D6" w14:paraId="4F07C2D6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0028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Неналоговые доходы,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E8D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99,4</w:t>
            </w:r>
          </w:p>
        </w:tc>
        <w:tc>
          <w:tcPr>
            <w:tcW w:w="1276" w:type="dxa"/>
            <w:vAlign w:val="center"/>
          </w:tcPr>
          <w:p w14:paraId="01273CC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965,0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3205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201,0</w:t>
            </w:r>
          </w:p>
        </w:tc>
        <w:tc>
          <w:tcPr>
            <w:tcW w:w="1276" w:type="dxa"/>
            <w:vAlign w:val="center"/>
          </w:tcPr>
          <w:p w14:paraId="650B999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03D2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2,0 раза</w:t>
            </w:r>
          </w:p>
        </w:tc>
      </w:tr>
      <w:tr w:rsidR="00E010D6" w:rsidRPr="00E010D6" w14:paraId="7C2A8A04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A5D4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68C52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276" w:type="dxa"/>
            <w:vAlign w:val="center"/>
          </w:tcPr>
          <w:p w14:paraId="33606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38B8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276" w:type="dxa"/>
            <w:vAlign w:val="center"/>
          </w:tcPr>
          <w:p w14:paraId="5F19384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0B98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66,9</w:t>
            </w:r>
          </w:p>
        </w:tc>
      </w:tr>
      <w:tr w:rsidR="00E010D6" w:rsidRPr="00E010D6" w14:paraId="466BB6EF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DC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47B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76,2</w:t>
            </w:r>
          </w:p>
        </w:tc>
        <w:tc>
          <w:tcPr>
            <w:tcW w:w="1276" w:type="dxa"/>
            <w:vAlign w:val="center"/>
          </w:tcPr>
          <w:p w14:paraId="51312A5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185D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178,5</w:t>
            </w:r>
          </w:p>
        </w:tc>
        <w:tc>
          <w:tcPr>
            <w:tcW w:w="1276" w:type="dxa"/>
            <w:vAlign w:val="center"/>
          </w:tcPr>
          <w:p w14:paraId="14E8AB8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22,3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A124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2,3 раза</w:t>
            </w:r>
          </w:p>
        </w:tc>
      </w:tr>
      <w:tr w:rsidR="00E010D6" w:rsidRPr="00E010D6" w14:paraId="71354D83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5CEC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BA8D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6" w:type="dxa"/>
            <w:vAlign w:val="center"/>
          </w:tcPr>
          <w:p w14:paraId="1EB8876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EA78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276" w:type="dxa"/>
            <w:vAlign w:val="center"/>
          </w:tcPr>
          <w:p w14:paraId="20DE83B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100B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1,6 раза</w:t>
            </w:r>
          </w:p>
        </w:tc>
      </w:tr>
      <w:tr w:rsidR="00E010D6" w:rsidRPr="00E010D6" w14:paraId="1C4DFEB6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B7D0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2902E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5617E6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B4CF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605BE1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5A17B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37807E8B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15D9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F482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FE027A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D4A6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6FCB95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E5F7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2A466321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364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A314F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968A02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D3B54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DDE53D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319E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19442452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55AE2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6B46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742DF8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531C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D377E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CE1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2A85E2AC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2260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96B8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1CFE2F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52 955,3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37A1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5 348,6</w:t>
            </w:r>
          </w:p>
        </w:tc>
        <w:tc>
          <w:tcPr>
            <w:tcW w:w="1276" w:type="dxa"/>
            <w:vAlign w:val="center"/>
          </w:tcPr>
          <w:p w14:paraId="0AAFCC6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2460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08BEE85A" w14:textId="77777777" w:rsidTr="00A76284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5AFA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1A63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091629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7F3A6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FF15B3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50A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2F0FE5C1" w14:textId="77777777" w:rsidTr="00A76284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E4884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4D05D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5E651E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52 955,1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1500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5 348,6</w:t>
            </w:r>
          </w:p>
        </w:tc>
        <w:tc>
          <w:tcPr>
            <w:tcW w:w="1276" w:type="dxa"/>
            <w:vAlign w:val="center"/>
          </w:tcPr>
          <w:p w14:paraId="11C8FEF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9B69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616F2533" w14:textId="77777777" w:rsidTr="00A76284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DD77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7076A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83DC6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A193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895C0E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7003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18D7A900" w14:textId="77777777" w:rsidTr="00A76284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307B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BF0C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2D1523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4C0A3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730614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FD7D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7DB605AB" w14:textId="77777777" w:rsidTr="00A76284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B155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E176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05774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CDD7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5890AC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703BE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</w:tbl>
    <w:p w14:paraId="4B0476A5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054865CC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налоговых доходов в структуре собственных доходов бюджета приходится 94,4 процента. В абсолютном выражении поступления в бюджет составили 3 354,9 тыс. рублей или 13,7 % годовых плановых назначений. Основным налогом, сформировавшим доходную часть налоговых доходов за 1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квартал 2023 года, является   налог на доходы физических лиц. На его долю приходится 43,6% поступивших налоговых доходов.</w:t>
      </w:r>
    </w:p>
    <w:p w14:paraId="4575EC05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 подакцизным товарам (нефтепродукты</w:t>
      </w:r>
      <w:r w:rsidRPr="00E010D6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1 076,5 тыс. рублей, годовые плановые назначения исполнены на 26,9%, доля налога в собственных доходах составляет 30,3 процента. К уровню аналогичного периода 2022 года доходы увеличены на 338,3</w:t>
      </w:r>
      <w:r w:rsidRPr="00E010D6">
        <w:rPr>
          <w:rFonts w:eastAsiaTheme="minorEastAsia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145,8 процента.         </w:t>
      </w:r>
    </w:p>
    <w:p w14:paraId="57EC5C66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1 463,3 тыс. рублей, годовые плановые назначения исполнены на 14,7%, доля в собственных доходах составляет 41,2 процента К уровню  аналогичного периода 2022 года доходы снизились на 493,7 тыс. рублей, или на 25,2 процента.    </w:t>
      </w:r>
    </w:p>
    <w:p w14:paraId="21A1941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-1,2 тыс. рублей, или 0,0% годовых плановых назначений.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A0FF0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36,4 тыс. рублей,  или 1,0 % годовых плановых назначений. Доля налога в собственных доходах составляет 1,1 процент. К уровню аналогичного периода 2022 года доходы снизились на 277,2 тыс. рублей, или на 88,4 процента.        </w:t>
      </w:r>
    </w:p>
    <w:p w14:paraId="53025A2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Земельный налог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 779,9 тыс. рублей, или 10,8% годовых плановых назначений. Доля налога в собственных доходах составляет 21,9 процента.  К уровню аналогичного периода 2022 года доходы снизились на 1 142,3 тыс. рублей, или на 59,4 процента.        </w:t>
      </w:r>
    </w:p>
    <w:p w14:paraId="1C488C1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14:paraId="2632271E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6D13738D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неналоговых доходов в структуре собственных доходов бюджета приходится 5,7  процента.  В абсолютном выражении поступления в бюджет составили 201,0 тыс. рублей или 20,8% годовых плановых назначений. Наибольший удельный вес по группе неналоговых доходов занимают </w:t>
      </w: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Объем поступлений составил 178,5 тыс. рублей, или 22,3% годовых плановых назначений. Доля налога в собственных доходах составляет 5,0 процента. </w:t>
      </w:r>
      <w:bookmarkStart w:id="0" w:name="_Hlk117677342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</w:t>
      </w:r>
      <w:bookmarkStart w:id="1" w:name="_Hlk117677296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аналогичного </w:t>
      </w:r>
      <w:bookmarkEnd w:id="1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периода 2022 года доходы увеличены в 2,3 раза.       </w:t>
      </w:r>
    </w:p>
    <w:bookmarkEnd w:id="0"/>
    <w:p w14:paraId="1E44D745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11,8 тыс. рублей, или 11,8% годовых плановых назначений. Доля в собственных доходах составляет 0,3 процента. </w:t>
      </w:r>
      <w:bookmarkStart w:id="2" w:name="_Hlk135043628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доходы увеличены в 1,6 раза.       </w:t>
      </w:r>
    </w:p>
    <w:bookmarkEnd w:id="2"/>
    <w:p w14:paraId="52032D09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10,7 тыс. рублей, или 16,7% годовых плановых назначений.  Доля в собственных доходах составляет 0,3 процента. К уровню аналогичного периода 2022 года доходы снизились на 33,1 процента.       </w:t>
      </w:r>
    </w:p>
    <w:p w14:paraId="5EE38A3C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Прочие неналоговые поступления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составили 0,0 тыс. рублей.</w:t>
      </w:r>
    </w:p>
    <w:p w14:paraId="5A3B0313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24F1E398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За 1 квартал 2023 года  кассовое исполнение безвозмездных поступлений составило 5 348,6 тыс. рублей, или 10,1% утвержденных годовых назначений. По сравнению с аналогичным периодом 2022 года, общий объем безвозмездных поступлений  увеличились на 5 348,6 тыс. рублей.</w:t>
      </w:r>
    </w:p>
    <w:p w14:paraId="6EB50313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5 348,6 тыс. рублей, что составило 10,1 %. </w:t>
      </w:r>
    </w:p>
    <w:p w14:paraId="07F0105F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бюджета</w:t>
      </w:r>
    </w:p>
    <w:p w14:paraId="1FB0C59C" w14:textId="77777777" w:rsidR="00E010D6" w:rsidRPr="00E010D6" w:rsidRDefault="00E010D6" w:rsidP="00E010D6">
      <w:pPr>
        <w:spacing w:after="0" w:line="240" w:lineRule="auto"/>
        <w:ind w:right="-1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Расходная часть бюджета за 1 квартал 2023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8 412,0 тыс. рублей, или  10,7% к утвержденным годовым назначениям.  По сравнению  с аналогичным периодом 2022 года, расходы  увеличились на 1 971,8 тыс. рублей, или на 130,6 процента. </w:t>
      </w:r>
    </w:p>
    <w:p w14:paraId="5B99B4E2" w14:textId="77777777" w:rsidR="00E010D6" w:rsidRPr="00E010D6" w:rsidRDefault="00E010D6" w:rsidP="00E010D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2.1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32BD195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  1 квартал 2023 года осуществлялось по 4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расходов  87,4  процентов.</w:t>
      </w:r>
    </w:p>
    <w:p w14:paraId="1B8122C0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 1 квартал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2023  года представлены в  таблице</w:t>
      </w:r>
    </w:p>
    <w:p w14:paraId="441EEFEC" w14:textId="77777777" w:rsidR="00E010D6" w:rsidRPr="00E010D6" w:rsidRDefault="00E010D6" w:rsidP="00E010D6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E010D6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E010D6" w:rsidRPr="00E010D6" w14:paraId="221F9CD6" w14:textId="77777777" w:rsidTr="00A76284">
        <w:trPr>
          <w:trHeight w:val="2346"/>
        </w:trPr>
        <w:tc>
          <w:tcPr>
            <w:tcW w:w="2303" w:type="dxa"/>
          </w:tcPr>
          <w:p w14:paraId="71E7183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998A38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FC6A964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35D4D61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2D6E330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77A803C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3A6F07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664F8F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5AAF60B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51D14A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7AF41C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97A948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EA1E6B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41C3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953309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77C322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29DC4F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  <w:p w14:paraId="5999D85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7E0CC28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A8F1E0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7" w:type="dxa"/>
            <w:vAlign w:val="center"/>
          </w:tcPr>
          <w:p w14:paraId="6F80489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76E86D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 квартал</w:t>
            </w:r>
          </w:p>
          <w:p w14:paraId="56382E8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8" w:type="dxa"/>
            <w:vAlign w:val="center"/>
          </w:tcPr>
          <w:p w14:paraId="445E39B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6DD872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AD769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50AC1DE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760421F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17974ADC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E010D6" w:rsidRPr="00E010D6" w14:paraId="2067AC14" w14:textId="77777777" w:rsidTr="00A76284">
        <w:tc>
          <w:tcPr>
            <w:tcW w:w="2303" w:type="dxa"/>
          </w:tcPr>
          <w:p w14:paraId="31D07916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5C2157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1BD385D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14:paraId="732816FB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4069B29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6C7B570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52C666EE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E010D6" w:rsidRPr="00E010D6" w14:paraId="5DA985BC" w14:textId="77777777" w:rsidTr="00A76284">
        <w:tc>
          <w:tcPr>
            <w:tcW w:w="2303" w:type="dxa"/>
            <w:vAlign w:val="center"/>
          </w:tcPr>
          <w:p w14:paraId="4441392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53A8EB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028204D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33,0</w:t>
            </w:r>
          </w:p>
        </w:tc>
        <w:tc>
          <w:tcPr>
            <w:tcW w:w="1241" w:type="dxa"/>
            <w:vAlign w:val="center"/>
          </w:tcPr>
          <w:p w14:paraId="5101217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145,2</w:t>
            </w:r>
          </w:p>
        </w:tc>
        <w:tc>
          <w:tcPr>
            <w:tcW w:w="1417" w:type="dxa"/>
            <w:vAlign w:val="center"/>
          </w:tcPr>
          <w:p w14:paraId="336EDA1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3EB22DE7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701" w:type="dxa"/>
            <w:vAlign w:val="center"/>
          </w:tcPr>
          <w:p w14:paraId="5497C69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15,1</w:t>
            </w:r>
          </w:p>
        </w:tc>
      </w:tr>
      <w:tr w:rsidR="00E010D6" w:rsidRPr="00E010D6" w14:paraId="2EA5745F" w14:textId="77777777" w:rsidTr="00A76284">
        <w:tc>
          <w:tcPr>
            <w:tcW w:w="2303" w:type="dxa"/>
            <w:vAlign w:val="center"/>
          </w:tcPr>
          <w:p w14:paraId="4B7C6E1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7F9743C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691160E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5ABF2567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1 219,0</w:t>
            </w:r>
          </w:p>
        </w:tc>
        <w:tc>
          <w:tcPr>
            <w:tcW w:w="1241" w:type="dxa"/>
            <w:vAlign w:val="center"/>
          </w:tcPr>
          <w:p w14:paraId="720AD60D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34 706,3</w:t>
            </w:r>
          </w:p>
        </w:tc>
        <w:tc>
          <w:tcPr>
            <w:tcW w:w="1417" w:type="dxa"/>
            <w:vAlign w:val="center"/>
          </w:tcPr>
          <w:p w14:paraId="24C2B7A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D0CFA34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5E789F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6AC80FEA" w14:textId="77777777" w:rsidTr="00A76284">
        <w:tc>
          <w:tcPr>
            <w:tcW w:w="2303" w:type="dxa"/>
            <w:vAlign w:val="center"/>
          </w:tcPr>
          <w:p w14:paraId="1C6E229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4832295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769B03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C995F1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2E1783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2 718,4</w:t>
            </w:r>
          </w:p>
        </w:tc>
        <w:tc>
          <w:tcPr>
            <w:tcW w:w="1241" w:type="dxa"/>
            <w:vAlign w:val="center"/>
          </w:tcPr>
          <w:p w14:paraId="7ECD38FB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36 266,2</w:t>
            </w:r>
          </w:p>
        </w:tc>
        <w:tc>
          <w:tcPr>
            <w:tcW w:w="1417" w:type="dxa"/>
            <w:vAlign w:val="center"/>
          </w:tcPr>
          <w:p w14:paraId="220FEA1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7353,1</w:t>
            </w:r>
          </w:p>
        </w:tc>
        <w:tc>
          <w:tcPr>
            <w:tcW w:w="1418" w:type="dxa"/>
            <w:vAlign w:val="center"/>
          </w:tcPr>
          <w:p w14:paraId="57939C2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20,3</w:t>
            </w:r>
          </w:p>
        </w:tc>
        <w:tc>
          <w:tcPr>
            <w:tcW w:w="1701" w:type="dxa"/>
            <w:vAlign w:val="center"/>
          </w:tcPr>
          <w:p w14:paraId="54DAD91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2,7 раза</w:t>
            </w:r>
          </w:p>
        </w:tc>
      </w:tr>
      <w:tr w:rsidR="00E010D6" w:rsidRPr="00E010D6" w14:paraId="65CEBCC0" w14:textId="77777777" w:rsidTr="00A76284">
        <w:tc>
          <w:tcPr>
            <w:tcW w:w="2303" w:type="dxa"/>
            <w:vAlign w:val="center"/>
          </w:tcPr>
          <w:p w14:paraId="181770C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64F5EC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14:paraId="3DF41797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14:paraId="5839DC2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14:paraId="3EBF1437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77523B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39A6984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2976745B" w14:textId="77777777" w:rsidTr="00A76284">
        <w:tc>
          <w:tcPr>
            <w:tcW w:w="2303" w:type="dxa"/>
            <w:vAlign w:val="center"/>
          </w:tcPr>
          <w:p w14:paraId="472BFCB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7D8C13E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01E4BA6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2 400,0</w:t>
            </w:r>
          </w:p>
        </w:tc>
        <w:tc>
          <w:tcPr>
            <w:tcW w:w="1241" w:type="dxa"/>
            <w:vAlign w:val="center"/>
          </w:tcPr>
          <w:p w14:paraId="3ECF8C22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7 500,0</w:t>
            </w:r>
          </w:p>
        </w:tc>
        <w:tc>
          <w:tcPr>
            <w:tcW w:w="1417" w:type="dxa"/>
            <w:vAlign w:val="center"/>
          </w:tcPr>
          <w:p w14:paraId="3B3FCD38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418" w:type="dxa"/>
            <w:vAlign w:val="center"/>
          </w:tcPr>
          <w:p w14:paraId="19B0B829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701" w:type="dxa"/>
            <w:vAlign w:val="center"/>
          </w:tcPr>
          <w:p w14:paraId="2B95B61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41,7</w:t>
            </w:r>
          </w:p>
        </w:tc>
      </w:tr>
      <w:tr w:rsidR="00E010D6" w:rsidRPr="00E010D6" w14:paraId="05274670" w14:textId="77777777" w:rsidTr="00A76284">
        <w:tc>
          <w:tcPr>
            <w:tcW w:w="2303" w:type="dxa"/>
            <w:vAlign w:val="center"/>
          </w:tcPr>
          <w:p w14:paraId="405A9A2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ED8B4D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0A9F754E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49,9</w:t>
            </w:r>
          </w:p>
        </w:tc>
        <w:tc>
          <w:tcPr>
            <w:tcW w:w="1241" w:type="dxa"/>
            <w:vAlign w:val="center"/>
          </w:tcPr>
          <w:p w14:paraId="2263DDE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218,6</w:t>
            </w:r>
          </w:p>
        </w:tc>
        <w:tc>
          <w:tcPr>
            <w:tcW w:w="1417" w:type="dxa"/>
            <w:vAlign w:val="center"/>
          </w:tcPr>
          <w:p w14:paraId="6C455D2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53,9</w:t>
            </w:r>
          </w:p>
        </w:tc>
        <w:tc>
          <w:tcPr>
            <w:tcW w:w="1418" w:type="dxa"/>
            <w:vAlign w:val="center"/>
          </w:tcPr>
          <w:p w14:paraId="3C12B63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24,7</w:t>
            </w:r>
          </w:p>
        </w:tc>
        <w:tc>
          <w:tcPr>
            <w:tcW w:w="1701" w:type="dxa"/>
            <w:vAlign w:val="center"/>
          </w:tcPr>
          <w:p w14:paraId="34E6611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</w:tr>
      <w:tr w:rsidR="00E010D6" w:rsidRPr="00E010D6" w14:paraId="7CB86F00" w14:textId="77777777" w:rsidTr="00A76284">
        <w:tc>
          <w:tcPr>
            <w:tcW w:w="2303" w:type="dxa"/>
            <w:vAlign w:val="center"/>
          </w:tcPr>
          <w:p w14:paraId="4EC5E811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964A28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44BCD4E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241" w:type="dxa"/>
            <w:vAlign w:val="center"/>
          </w:tcPr>
          <w:p w14:paraId="1B40D8B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7" w:type="dxa"/>
            <w:vAlign w:val="center"/>
          </w:tcPr>
          <w:p w14:paraId="21C7D2A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9E9448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4F6020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1DBE6DEB" w14:textId="77777777" w:rsidTr="00A76284">
        <w:tc>
          <w:tcPr>
            <w:tcW w:w="2303" w:type="dxa"/>
            <w:vAlign w:val="center"/>
          </w:tcPr>
          <w:p w14:paraId="4A87568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50E3DF2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E6B57C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12AE6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6 440,2</w:t>
            </w:r>
          </w:p>
        </w:tc>
        <w:tc>
          <w:tcPr>
            <w:tcW w:w="1241" w:type="dxa"/>
            <w:vAlign w:val="center"/>
          </w:tcPr>
          <w:p w14:paraId="72BA7C9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78 931,3</w:t>
            </w:r>
          </w:p>
        </w:tc>
        <w:tc>
          <w:tcPr>
            <w:tcW w:w="1417" w:type="dxa"/>
            <w:vAlign w:val="center"/>
          </w:tcPr>
          <w:p w14:paraId="774A8365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8 412,0</w:t>
            </w:r>
          </w:p>
        </w:tc>
        <w:tc>
          <w:tcPr>
            <w:tcW w:w="1418" w:type="dxa"/>
            <w:vAlign w:val="center"/>
          </w:tcPr>
          <w:p w14:paraId="009FB21B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lang w:eastAsia="ru-RU"/>
              </w:rPr>
              <w:t>10,7</w:t>
            </w:r>
          </w:p>
        </w:tc>
        <w:tc>
          <w:tcPr>
            <w:tcW w:w="1701" w:type="dxa"/>
            <w:vAlign w:val="center"/>
          </w:tcPr>
          <w:p w14:paraId="09806564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lang w:eastAsia="ru-RU"/>
              </w:rPr>
              <w:t>130,6</w:t>
            </w:r>
          </w:p>
        </w:tc>
      </w:tr>
    </w:tbl>
    <w:p w14:paraId="2D8BA56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15443A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8B3615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квартал 2023 года  исполнены в сумме 5,0 тыс. рублей, или 3,4% к утвержденной бюджетной росписи. Доля расходов по разделу в общей структуре расходов бюджета составила 0,1 процентов.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84,9 процента.       </w:t>
      </w:r>
    </w:p>
    <w:p w14:paraId="14A9899E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расходы не осуществлялись, тогда как плановые назначения составили 34 706,3 тыс. рублей. </w:t>
      </w:r>
    </w:p>
    <w:p w14:paraId="47112B9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7353,1 тыс. рублей, или 20,3% к утвержденной бюджетной росписи. Доля расходов по разделу в общей структуре расходов бюджета составила 87,4 процентов. Структура раздела представлена 4 подразделами:</w:t>
      </w:r>
    </w:p>
    <w:p w14:paraId="78C14A3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10,1 тыс. рублей, или 0,1% раздела.</w:t>
      </w:r>
    </w:p>
    <w:p w14:paraId="2A49197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12,3 тыс. рублей, или 0,2% раздела.</w:t>
      </w:r>
    </w:p>
    <w:p w14:paraId="5161C876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1 928,1 тыс. рублей, или 26,2% раздела.</w:t>
      </w:r>
    </w:p>
    <w:p w14:paraId="2F542A7D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расходы составили 5 402,6  тыс. рублей, или 73,5% раздела.</w:t>
      </w:r>
    </w:p>
    <w:p w14:paraId="4AEECC29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увеличились в 2,7 раза.       </w:t>
      </w:r>
    </w:p>
    <w:p w14:paraId="461B1710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15,0 тыс. рублей. </w:t>
      </w:r>
    </w:p>
    <w:p w14:paraId="1850964F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1000,00 тыс. рублей, или 13,3% к утвержденной бюджетной росписи. В общем объеме бюджета доля расходов по разделу составила 11,9 процента.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58,3 процента.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66A311D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53,9 тыс. рублей, или 24,7% к утвержденной бюджетной росписи. Доля расходов по разделу в общей структуре расходов бюджета составила 0,6 процента.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увеличились на 108,0 процента.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10 01 «Пенсионное обеспечение».</w:t>
      </w:r>
    </w:p>
    <w:p w14:paraId="18F0475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80,0 тыс. рублей. Структура раздела представлена одним подразделом – 11 02 «Массовый спорт».</w:t>
      </w:r>
    </w:p>
    <w:p w14:paraId="1D1013A0" w14:textId="458C8E89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EF69B7D" w14:textId="0E48EE9A" w:rsidR="00E010D6" w:rsidRPr="00E010D6" w:rsidRDefault="00E010D6" w:rsidP="00E010D6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55B8000C" w14:textId="53001566" w:rsid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E010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E0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2022 год и на плановый период 2024 и 2025 годов»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«16» декабря 2022 года № 664 с  объемом финансирования на 2023 год в сумме  59 005,7тыс. рублей, в том числе 25 883, 9</w:t>
      </w:r>
      <w:r w:rsidRPr="00E010D6">
        <w:rPr>
          <w:rFonts w:ascii="Times New Roman" w:eastAsiaTheme="minorEastAsia" w:hAnsi="Times New Roman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33 121,8</w:t>
      </w:r>
      <w:r w:rsidRPr="00E010D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 - средства областного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бюджета. В течение отчетного периода в роспись вносилось изменение (на основании уведомлений Департамента финансов Брянской области № 15300810_2023_819_ 1940916170_591 от 27.03.2023 года и № 15300810_2023_812_ 1240213450_677 от 27.03.2023 года). С учётом изменений объём финансирования  составил 75644,8 в том числе 25 644,8</w:t>
      </w:r>
      <w:r w:rsidRPr="00E010D6">
        <w:rPr>
          <w:rFonts w:ascii="Times New Roman" w:eastAsiaTheme="minorEastAsia" w:hAnsi="Times New Roman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49 760,8 тыс. рублей - средства областного бюджета.</w:t>
      </w:r>
    </w:p>
    <w:p w14:paraId="4541C218" w14:textId="2B016F45" w:rsidR="00E010D6" w:rsidRPr="00E010D6" w:rsidRDefault="00E010D6" w:rsidP="00E010D6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5058590"/>
      <w:r w:rsidRPr="00E010D6">
        <w:rPr>
          <w:rFonts w:ascii="Times New Roman" w:hAnsi="Times New Roman" w:cs="Times New Roman"/>
          <w:sz w:val="28"/>
          <w:szCs w:val="28"/>
        </w:rPr>
        <w:t>Рост параметров</w:t>
      </w:r>
      <w:r w:rsidRPr="00CC7F54">
        <w:rPr>
          <w:rFonts w:ascii="Times New Roman" w:hAnsi="Times New Roman" w:cs="Times New Roman"/>
          <w:sz w:val="28"/>
          <w:szCs w:val="28"/>
        </w:rPr>
        <w:t xml:space="preserve"> бюджета к первоначально утвержденным значениям составил </w:t>
      </w:r>
      <w:r>
        <w:rPr>
          <w:rFonts w:ascii="Times New Roman" w:hAnsi="Times New Roman" w:cs="Times New Roman"/>
          <w:sz w:val="28"/>
          <w:szCs w:val="28"/>
        </w:rPr>
        <w:t>128,2</w:t>
      </w:r>
      <w:r w:rsidRPr="00CC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C7F5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16589,1</w:t>
      </w:r>
      <w:r w:rsidRPr="00CC7F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3"/>
    <w:p w14:paraId="0EE6AD18" w14:textId="0F137D42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 квартал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2023 года расходы бюджета по муниципальной программе  исполнены в сумме 8 412,0 тыс. рублей, том числе 3 063,4 тыс. рублей - средства местного бюджета, 5 348,6 тыс. рублей - средства областного бюджета.</w:t>
      </w:r>
    </w:p>
    <w:p w14:paraId="428B384D" w14:textId="77777777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1FBBFDB" w14:textId="77777777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E010D6">
        <w:rPr>
          <w:rFonts w:eastAsiaTheme="minorEastAsia"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2023 год в сумме  3 226,5 тыс. рублей, в том числе 32,3 тыс. рублей - средства местного бюджета, 3 194,2 тыс. рублей - средства областного бюджета. В течение отчетного периода изменения  в постановление  не вносились.</w:t>
      </w:r>
    </w:p>
    <w:p w14:paraId="61FC2540" w14:textId="77777777" w:rsidR="00E010D6" w:rsidRPr="00E010D6" w:rsidRDefault="00E010D6" w:rsidP="00E010D6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10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E010D6">
        <w:rPr>
          <w:rFonts w:ascii="Times New Roman" w:hAnsi="Times New Roman" w:cs="Times New Roman"/>
          <w:i/>
          <w:iCs/>
          <w:sz w:val="28"/>
          <w:szCs w:val="28"/>
        </w:rPr>
        <w:t xml:space="preserve">1 квартал 2023 года </w:t>
      </w:r>
      <w:r w:rsidRPr="00E010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  <w:r w:rsidRPr="00E010D6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3382"/>
        <w:gridCol w:w="1430"/>
        <w:gridCol w:w="1237"/>
        <w:gridCol w:w="1307"/>
        <w:gridCol w:w="1174"/>
        <w:gridCol w:w="1200"/>
      </w:tblGrid>
      <w:tr w:rsidR="00E010D6" w:rsidRPr="00E010D6" w14:paraId="26082B86" w14:textId="77777777" w:rsidTr="00A76284">
        <w:trPr>
          <w:trHeight w:val="1155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DE949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B519C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C170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B196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4C7C6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исп. к уточ.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0A934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E010D6" w:rsidRPr="00E010D6" w14:paraId="5D4426D8" w14:textId="77777777" w:rsidTr="00A76284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A8248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отдельных полномочий Дубровского  городского поселения Дубровского муниципального района Брянской области на 2023 год и на плановый период  2024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E4CC6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59 005,7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81CFB2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75 644,8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09E8C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342A1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3F30E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010D6" w:rsidRPr="00E010D6" w14:paraId="4995CFA6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2242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6062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33 121,8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61D1F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49 760,8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47EEC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5 348,6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A00AD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CC4C3E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E010D6" w:rsidRPr="00E010D6" w14:paraId="7D937458" w14:textId="77777777" w:rsidTr="00A76284">
        <w:trPr>
          <w:trHeight w:val="37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BE714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ECA09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D98EC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764E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F6A80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9880D7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0D6" w:rsidRPr="00E010D6" w14:paraId="634B469C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355AC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5A6B2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25 883,9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CD451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25 884,0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E0EE6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26DE3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27433D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E010D6" w:rsidRPr="00E010D6" w14:paraId="7297752B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0CB80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 на 2018-2024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EBDEDE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D1BDA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662CDA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D377F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AE379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10D6" w:rsidRPr="00E010D6" w14:paraId="13A74B75" w14:textId="77777777" w:rsidTr="00A76284">
        <w:trPr>
          <w:trHeight w:val="352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6E03E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857A7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B8468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68954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F1EA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7BCE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10D6" w:rsidRPr="00E010D6" w14:paraId="5FEB6610" w14:textId="77777777" w:rsidTr="00A76284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670F1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27922F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1FFD9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50BF5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C8F72D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BF1DEA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4DFC72D7" w14:textId="1393CDDB" w:rsidR="00E010D6" w:rsidRDefault="00E010D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B53ADAA" w14:textId="7D8D62C0" w:rsidR="00E010D6" w:rsidRPr="00253245" w:rsidRDefault="00E010D6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43A3B5C" w14:textId="54038461" w:rsidR="00E010D6" w:rsidRPr="00253245" w:rsidRDefault="00E010D6" w:rsidP="0054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</w:p>
    <w:p w14:paraId="390401C7" w14:textId="266BC86E" w:rsidR="00E010D6" w:rsidRPr="00540C19" w:rsidRDefault="00E010D6" w:rsidP="00540C1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4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4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 резервного фонда.</w:t>
      </w:r>
    </w:p>
    <w:p w14:paraId="69C50276" w14:textId="55047C8E" w:rsidR="00E010D6" w:rsidRPr="00253245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76284">
        <w:rPr>
          <w:rFonts w:ascii="Times New Roman" w:hAnsi="Times New Roman" w:cs="Times New Roman"/>
          <w:sz w:val="28"/>
          <w:szCs w:val="28"/>
        </w:rPr>
        <w:t>6</w:t>
      </w:r>
      <w:r w:rsidRPr="00253245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</w:p>
    <w:p w14:paraId="45FC5A89" w14:textId="3A33BCFE" w:rsidR="00E010D6" w:rsidRPr="00F41037" w:rsidRDefault="00E010D6" w:rsidP="00E010D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001"/>
      </w:tblGrid>
      <w:tr w:rsidR="00E010D6" w:rsidRPr="00253245" w14:paraId="42C49D3E" w14:textId="77777777" w:rsidTr="00A7628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BFEAE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E010D6" w:rsidRPr="00253245" w14:paraId="257692FA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4CD7ED72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594BAC" w14:textId="14CEAA3B" w:rsidR="00E010D6" w:rsidRDefault="00A76284" w:rsidP="00E0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6284">
        <w:rPr>
          <w:rFonts w:ascii="Times New Roman" w:hAnsi="Times New Roman"/>
          <w:sz w:val="28"/>
          <w:szCs w:val="28"/>
        </w:rPr>
        <w:t>непрограммной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периоде </w:t>
      </w:r>
      <w:r w:rsidRPr="006701DE">
        <w:rPr>
          <w:rFonts w:ascii="Times New Roman" w:hAnsi="Times New Roman"/>
          <w:sz w:val="28"/>
          <w:szCs w:val="28"/>
        </w:rPr>
        <w:t>не осуществлялись</w:t>
      </w:r>
      <w:r>
        <w:rPr>
          <w:rFonts w:ascii="Times New Roman" w:hAnsi="Times New Roman"/>
          <w:sz w:val="28"/>
          <w:szCs w:val="28"/>
        </w:rPr>
        <w:t>.</w:t>
      </w:r>
    </w:p>
    <w:p w14:paraId="463ADD96" w14:textId="77777777" w:rsidR="00E010D6" w:rsidRPr="00A76284" w:rsidRDefault="00E010D6" w:rsidP="00A76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E3C24" w14:textId="6577EA7A" w:rsidR="007F0C8D" w:rsidRPr="00CF470C" w:rsidRDefault="007F0C8D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D438665" w14:textId="77777777" w:rsidR="00A76284" w:rsidRPr="00A76284" w:rsidRDefault="00A76284" w:rsidP="00A76284">
      <w:pPr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5" w:name="_Hlk102726715"/>
      <w:r w:rsidRPr="00A76284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При принятии решения о бюджете на 2023 год, бюджет первоначально был утвержден бездефицитным. </w:t>
      </w:r>
      <w:r w:rsidRPr="00A76284">
        <w:rPr>
          <w:rFonts w:ascii="Times New Roman" w:eastAsiaTheme="minorEastAsia" w:hAnsi="Times New Roman"/>
          <w:sz w:val="28"/>
          <w:szCs w:val="28"/>
          <w:lang w:eastAsia="ru-RU"/>
        </w:rPr>
        <w:t>За 1 квартал 2023 года в решение о бюджете изменения не вносились.</w:t>
      </w:r>
    </w:p>
    <w:p w14:paraId="26C1F2DC" w14:textId="77777777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  <w:r w:rsidRPr="00CF470C">
        <w:rPr>
          <w:rFonts w:ascii="Times New Roman" w:hAnsi="Times New Roman"/>
          <w:sz w:val="28"/>
          <w:szCs w:val="28"/>
        </w:rPr>
        <w:tab/>
      </w:r>
    </w:p>
    <w:bookmarkEnd w:id="5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24209D2" w14:textId="5DE70F30" w:rsidR="00A76284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43E9BCD" w14:textId="77777777" w:rsidR="00A76284" w:rsidRPr="00A833F5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60B31C88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596796">
        <w:rPr>
          <w:rFonts w:ascii="Times New Roman" w:hAnsi="Times New Roman" w:cs="Times New Roman"/>
          <w:sz w:val="28"/>
          <w:szCs w:val="28"/>
        </w:rPr>
        <w:t>1 квартал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A76284">
        <w:rPr>
          <w:rFonts w:ascii="Times New Roman" w:hAnsi="Times New Roman" w:cs="Times New Roman"/>
          <w:sz w:val="28"/>
          <w:szCs w:val="28"/>
        </w:rPr>
        <w:t>3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A76284">
        <w:rPr>
          <w:rFonts w:ascii="Times New Roman" w:hAnsi="Times New Roman" w:cs="Times New Roman"/>
          <w:sz w:val="28"/>
          <w:szCs w:val="28"/>
        </w:rPr>
        <w:t xml:space="preserve">,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района.</w:t>
      </w:r>
    </w:p>
    <w:p w14:paraId="71BED2C7" w14:textId="525A67FE" w:rsidR="00FB22F1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1546C43" w14:textId="4ECA433F" w:rsidR="00A76284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8299EF" w14:textId="77777777" w:rsidR="00A76284" w:rsidRPr="00CF470C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241AD" w14:textId="77777777" w:rsidR="001339E8" w:rsidRDefault="001339E8" w:rsidP="00FB1971">
      <w:pPr>
        <w:spacing w:after="0" w:line="240" w:lineRule="auto"/>
      </w:pPr>
      <w:r>
        <w:separator/>
      </w:r>
    </w:p>
  </w:endnote>
  <w:endnote w:type="continuationSeparator" w:id="0">
    <w:p w14:paraId="36889155" w14:textId="77777777" w:rsidR="001339E8" w:rsidRDefault="001339E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3793B" w14:textId="77777777" w:rsidR="001339E8" w:rsidRDefault="001339E8" w:rsidP="00FB1971">
      <w:pPr>
        <w:spacing w:after="0" w:line="240" w:lineRule="auto"/>
      </w:pPr>
      <w:r>
        <w:separator/>
      </w:r>
    </w:p>
  </w:footnote>
  <w:footnote w:type="continuationSeparator" w:id="0">
    <w:p w14:paraId="2A7F8E9E" w14:textId="77777777" w:rsidR="001339E8" w:rsidRDefault="001339E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3ACA57EF" w14:textId="77777777" w:rsidR="00A76284" w:rsidRDefault="00A762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A76284" w:rsidRDefault="00A76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010D6"/>
    <w:rsid w:val="00E124E4"/>
    <w:rsid w:val="00E14A79"/>
    <w:rsid w:val="00E15AB9"/>
    <w:rsid w:val="00E16839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9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413</cp:revision>
  <cp:lastPrinted>2019-05-23T08:46:00Z</cp:lastPrinted>
  <dcterms:created xsi:type="dcterms:W3CDTF">2019-04-29T10:34:00Z</dcterms:created>
  <dcterms:modified xsi:type="dcterms:W3CDTF">2023-05-15T13:14:00Z</dcterms:modified>
</cp:coreProperties>
</file>